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4B5CB" w14:textId="77777777" w:rsidR="00400BD2" w:rsidRPr="009A3CC6" w:rsidRDefault="00400BD2" w:rsidP="00400BD2">
      <w:pPr>
        <w:spacing w:line="480" w:lineRule="auto"/>
        <w:jc w:val="center"/>
        <w:rPr>
          <w:sz w:val="28"/>
          <w:szCs w:val="28"/>
          <w:lang w:eastAsia="ja-JP"/>
        </w:rPr>
      </w:pPr>
      <w:r w:rsidRPr="009A3CC6">
        <w:rPr>
          <w:sz w:val="28"/>
          <w:szCs w:val="28"/>
          <w:lang w:eastAsia="ja-JP"/>
        </w:rPr>
        <w:t>Motion Practice Memorandum</w:t>
      </w:r>
    </w:p>
    <w:p w14:paraId="137EEF49" w14:textId="469CC12C" w:rsidR="00400BD2" w:rsidRPr="009A3CC6" w:rsidRDefault="00400BD2" w:rsidP="00400BD2">
      <w:pPr>
        <w:spacing w:line="480" w:lineRule="auto"/>
        <w:jc w:val="center"/>
        <w:rPr>
          <w:sz w:val="28"/>
          <w:szCs w:val="28"/>
          <w:lang w:eastAsia="ja-JP"/>
        </w:rPr>
      </w:pPr>
      <w:r w:rsidRPr="009A3CC6">
        <w:rPr>
          <w:sz w:val="28"/>
          <w:szCs w:val="28"/>
          <w:lang w:eastAsia="ja-JP"/>
        </w:rPr>
        <w:t xml:space="preserve">Professor </w:t>
      </w:r>
      <w:r w:rsidR="00A944A2">
        <w:rPr>
          <w:sz w:val="28"/>
          <w:szCs w:val="28"/>
        </w:rPr>
        <w:t>&lt;redacted&gt;&lt;/redacted&gt;</w:t>
      </w:r>
    </w:p>
    <w:p w14:paraId="07AE8263" w14:textId="1C028CDB" w:rsidR="00400BD2" w:rsidRPr="009A3CC6" w:rsidRDefault="00B815D9" w:rsidP="00400BD2">
      <w:pPr>
        <w:spacing w:line="480" w:lineRule="auto"/>
        <w:jc w:val="center"/>
        <w:rPr>
          <w:sz w:val="28"/>
          <w:szCs w:val="28"/>
          <w:lang w:eastAsia="ja-JP"/>
        </w:rPr>
      </w:pPr>
      <w:r>
        <w:rPr>
          <w:sz w:val="28"/>
          <w:szCs w:val="28"/>
          <w:lang w:eastAsia="ja-JP"/>
        </w:rPr>
        <w:t>4.11</w:t>
      </w:r>
      <w:r w:rsidR="00400BD2" w:rsidRPr="009A3CC6">
        <w:rPr>
          <w:sz w:val="28"/>
          <w:szCs w:val="28"/>
          <w:lang w:eastAsia="ja-JP"/>
        </w:rPr>
        <w:t>.12</w:t>
      </w:r>
    </w:p>
    <w:p w14:paraId="4CCCD2A7" w14:textId="00143500" w:rsidR="00400BD2" w:rsidRPr="009A3CC6" w:rsidRDefault="00A944A2" w:rsidP="00400BD2">
      <w:pPr>
        <w:spacing w:line="480" w:lineRule="auto"/>
        <w:jc w:val="center"/>
        <w:rPr>
          <w:sz w:val="28"/>
          <w:szCs w:val="28"/>
          <w:lang w:eastAsia="ja-JP"/>
        </w:rPr>
      </w:pPr>
      <w:r>
        <w:rPr>
          <w:sz w:val="28"/>
          <w:szCs w:val="28"/>
        </w:rPr>
        <w:t>&lt;</w:t>
      </w:r>
      <w:proofErr w:type="gramStart"/>
      <w:r>
        <w:rPr>
          <w:sz w:val="28"/>
          <w:szCs w:val="28"/>
        </w:rPr>
        <w:t>redacted</w:t>
      </w:r>
      <w:proofErr w:type="gramEnd"/>
      <w:r>
        <w:rPr>
          <w:sz w:val="28"/>
          <w:szCs w:val="28"/>
        </w:rPr>
        <w:t>&gt;&lt;/redacted&gt;</w:t>
      </w:r>
    </w:p>
    <w:p w14:paraId="68BA1D78" w14:textId="29773A88" w:rsidR="00400BD2" w:rsidRPr="009A3CC6" w:rsidRDefault="00400BD2" w:rsidP="00400BD2">
      <w:pPr>
        <w:spacing w:line="480" w:lineRule="auto"/>
        <w:jc w:val="center"/>
        <w:rPr>
          <w:sz w:val="28"/>
          <w:szCs w:val="28"/>
          <w:lang w:eastAsia="ja-JP"/>
        </w:rPr>
      </w:pPr>
      <w:r w:rsidRPr="009A3CC6">
        <w:rPr>
          <w:sz w:val="28"/>
          <w:szCs w:val="28"/>
          <w:lang w:eastAsia="ja-JP"/>
        </w:rPr>
        <w:t>I certify that t</w:t>
      </w:r>
      <w:r w:rsidR="00BE3539">
        <w:rPr>
          <w:sz w:val="28"/>
          <w:szCs w:val="28"/>
          <w:lang w:eastAsia="ja-JP"/>
        </w:rPr>
        <w:t>he following document contains 3</w:t>
      </w:r>
      <w:r w:rsidRPr="009A3CC6">
        <w:rPr>
          <w:sz w:val="28"/>
          <w:szCs w:val="28"/>
          <w:lang w:eastAsia="ja-JP"/>
        </w:rPr>
        <w:t>,</w:t>
      </w:r>
      <w:r w:rsidR="00A45AFB">
        <w:rPr>
          <w:sz w:val="28"/>
          <w:szCs w:val="28"/>
          <w:lang w:eastAsia="ja-JP"/>
        </w:rPr>
        <w:t>354</w:t>
      </w:r>
      <w:r w:rsidRPr="009A3CC6">
        <w:rPr>
          <w:sz w:val="28"/>
          <w:szCs w:val="28"/>
          <w:lang w:eastAsia="ja-JP"/>
        </w:rPr>
        <w:t xml:space="preserve"> words.</w:t>
      </w:r>
    </w:p>
    <w:p w14:paraId="47096567" w14:textId="77777777" w:rsidR="002A30BA" w:rsidRPr="009A3CC6" w:rsidRDefault="002A30BA">
      <w:pPr>
        <w:rPr>
          <w:sz w:val="28"/>
          <w:szCs w:val="28"/>
        </w:rPr>
      </w:pPr>
    </w:p>
    <w:p w14:paraId="4E83EDF8" w14:textId="77777777" w:rsidR="00400BD2" w:rsidRPr="009A3CC6" w:rsidRDefault="00400BD2">
      <w:pPr>
        <w:rPr>
          <w:sz w:val="28"/>
          <w:szCs w:val="28"/>
        </w:rPr>
      </w:pPr>
    </w:p>
    <w:p w14:paraId="364D1CDC" w14:textId="77777777" w:rsidR="00400BD2" w:rsidRPr="009A3CC6" w:rsidRDefault="00400BD2">
      <w:pPr>
        <w:rPr>
          <w:sz w:val="28"/>
          <w:szCs w:val="28"/>
        </w:rPr>
      </w:pPr>
    </w:p>
    <w:p w14:paraId="4758EEA0" w14:textId="77777777" w:rsidR="00400BD2" w:rsidRPr="009A3CC6" w:rsidRDefault="00400BD2">
      <w:pPr>
        <w:rPr>
          <w:sz w:val="28"/>
          <w:szCs w:val="28"/>
        </w:rPr>
      </w:pPr>
    </w:p>
    <w:p w14:paraId="39C74DA3" w14:textId="77777777" w:rsidR="00400BD2" w:rsidRPr="009A3CC6" w:rsidRDefault="00400BD2">
      <w:pPr>
        <w:rPr>
          <w:sz w:val="28"/>
          <w:szCs w:val="28"/>
        </w:rPr>
      </w:pPr>
    </w:p>
    <w:p w14:paraId="2DFA3411" w14:textId="77777777" w:rsidR="00400BD2" w:rsidRPr="009A3CC6" w:rsidRDefault="00400BD2">
      <w:pPr>
        <w:rPr>
          <w:sz w:val="28"/>
          <w:szCs w:val="28"/>
        </w:rPr>
      </w:pPr>
    </w:p>
    <w:p w14:paraId="72AC3F72" w14:textId="77777777" w:rsidR="00400BD2" w:rsidRPr="009A3CC6" w:rsidRDefault="00400BD2">
      <w:pPr>
        <w:rPr>
          <w:sz w:val="28"/>
          <w:szCs w:val="28"/>
        </w:rPr>
      </w:pPr>
    </w:p>
    <w:p w14:paraId="550AFF5C" w14:textId="77777777" w:rsidR="00400BD2" w:rsidRPr="009A3CC6" w:rsidRDefault="00400BD2">
      <w:pPr>
        <w:rPr>
          <w:sz w:val="28"/>
          <w:szCs w:val="28"/>
        </w:rPr>
      </w:pPr>
    </w:p>
    <w:p w14:paraId="21F34B82" w14:textId="77777777" w:rsidR="00400BD2" w:rsidRPr="009A3CC6" w:rsidRDefault="00400BD2">
      <w:pPr>
        <w:rPr>
          <w:sz w:val="28"/>
          <w:szCs w:val="28"/>
        </w:rPr>
      </w:pPr>
    </w:p>
    <w:p w14:paraId="0DA480F6" w14:textId="77777777" w:rsidR="00400BD2" w:rsidRPr="009A3CC6" w:rsidRDefault="00400BD2">
      <w:pPr>
        <w:rPr>
          <w:sz w:val="28"/>
          <w:szCs w:val="28"/>
        </w:rPr>
      </w:pPr>
    </w:p>
    <w:p w14:paraId="7AF422D3" w14:textId="77777777" w:rsidR="00400BD2" w:rsidRPr="009A3CC6" w:rsidRDefault="00400BD2">
      <w:pPr>
        <w:rPr>
          <w:sz w:val="28"/>
          <w:szCs w:val="28"/>
        </w:rPr>
      </w:pPr>
    </w:p>
    <w:p w14:paraId="02E8E11B" w14:textId="77777777" w:rsidR="00400BD2" w:rsidRPr="009A3CC6" w:rsidRDefault="00400BD2">
      <w:pPr>
        <w:rPr>
          <w:sz w:val="28"/>
          <w:szCs w:val="28"/>
        </w:rPr>
      </w:pPr>
    </w:p>
    <w:p w14:paraId="3B108461" w14:textId="77777777" w:rsidR="00400BD2" w:rsidRPr="009A3CC6" w:rsidRDefault="00400BD2">
      <w:pPr>
        <w:rPr>
          <w:sz w:val="28"/>
          <w:szCs w:val="28"/>
        </w:rPr>
      </w:pPr>
    </w:p>
    <w:p w14:paraId="03B3403B" w14:textId="77777777" w:rsidR="00400BD2" w:rsidRPr="009A3CC6" w:rsidRDefault="00400BD2">
      <w:pPr>
        <w:rPr>
          <w:sz w:val="28"/>
          <w:szCs w:val="28"/>
        </w:rPr>
      </w:pPr>
    </w:p>
    <w:p w14:paraId="0EB3CA63" w14:textId="77777777" w:rsidR="00400BD2" w:rsidRPr="009A3CC6" w:rsidRDefault="00400BD2">
      <w:pPr>
        <w:rPr>
          <w:sz w:val="28"/>
          <w:szCs w:val="28"/>
        </w:rPr>
      </w:pPr>
    </w:p>
    <w:p w14:paraId="2267FF39" w14:textId="77777777" w:rsidR="00400BD2" w:rsidRPr="009A3CC6" w:rsidRDefault="00400BD2">
      <w:pPr>
        <w:rPr>
          <w:sz w:val="28"/>
          <w:szCs w:val="28"/>
        </w:rPr>
      </w:pPr>
    </w:p>
    <w:p w14:paraId="0AB6FD96" w14:textId="77777777" w:rsidR="00400BD2" w:rsidRPr="009A3CC6" w:rsidRDefault="00400BD2">
      <w:pPr>
        <w:rPr>
          <w:sz w:val="28"/>
          <w:szCs w:val="28"/>
        </w:rPr>
      </w:pPr>
    </w:p>
    <w:p w14:paraId="292B08BC" w14:textId="77777777" w:rsidR="00400BD2" w:rsidRPr="009A3CC6" w:rsidRDefault="00400BD2">
      <w:pPr>
        <w:rPr>
          <w:sz w:val="28"/>
          <w:szCs w:val="28"/>
        </w:rPr>
      </w:pPr>
    </w:p>
    <w:p w14:paraId="72FAD256" w14:textId="77777777" w:rsidR="00400BD2" w:rsidRPr="009A3CC6" w:rsidRDefault="00400BD2">
      <w:pPr>
        <w:rPr>
          <w:sz w:val="28"/>
          <w:szCs w:val="28"/>
        </w:rPr>
      </w:pPr>
    </w:p>
    <w:p w14:paraId="1B64165F" w14:textId="77777777" w:rsidR="00400BD2" w:rsidRPr="009A3CC6" w:rsidRDefault="00400BD2">
      <w:pPr>
        <w:rPr>
          <w:sz w:val="28"/>
          <w:szCs w:val="28"/>
        </w:rPr>
      </w:pPr>
    </w:p>
    <w:p w14:paraId="69BAE7FE" w14:textId="77777777" w:rsidR="00400BD2" w:rsidRPr="009A3CC6" w:rsidRDefault="00400BD2">
      <w:pPr>
        <w:rPr>
          <w:sz w:val="28"/>
          <w:szCs w:val="28"/>
        </w:rPr>
      </w:pPr>
    </w:p>
    <w:p w14:paraId="4262DEEE" w14:textId="77777777" w:rsidR="00400BD2" w:rsidRPr="009A3CC6" w:rsidRDefault="00400BD2">
      <w:pPr>
        <w:rPr>
          <w:sz w:val="28"/>
          <w:szCs w:val="28"/>
        </w:rPr>
      </w:pPr>
    </w:p>
    <w:p w14:paraId="660F1A43" w14:textId="77777777" w:rsidR="00400BD2" w:rsidRPr="009A3CC6" w:rsidRDefault="00400BD2">
      <w:pPr>
        <w:rPr>
          <w:sz w:val="28"/>
          <w:szCs w:val="28"/>
        </w:rPr>
      </w:pPr>
    </w:p>
    <w:p w14:paraId="6C6F7951" w14:textId="77777777" w:rsidR="00400BD2" w:rsidRPr="009A3CC6" w:rsidRDefault="00400BD2">
      <w:pPr>
        <w:rPr>
          <w:sz w:val="28"/>
          <w:szCs w:val="28"/>
        </w:rPr>
      </w:pPr>
    </w:p>
    <w:p w14:paraId="5BC88118" w14:textId="77777777" w:rsidR="00400BD2" w:rsidRDefault="00400BD2">
      <w:pPr>
        <w:rPr>
          <w:sz w:val="28"/>
          <w:szCs w:val="28"/>
        </w:rPr>
      </w:pPr>
    </w:p>
    <w:p w14:paraId="27AF1F7D" w14:textId="77777777" w:rsidR="00E975DE" w:rsidRPr="009A3CC6" w:rsidRDefault="00E975DE">
      <w:pPr>
        <w:rPr>
          <w:sz w:val="28"/>
          <w:szCs w:val="28"/>
        </w:rPr>
      </w:pPr>
    </w:p>
    <w:p w14:paraId="360D6690" w14:textId="77777777" w:rsidR="00400BD2" w:rsidRPr="009A3CC6" w:rsidRDefault="00400BD2">
      <w:pPr>
        <w:rPr>
          <w:sz w:val="28"/>
          <w:szCs w:val="28"/>
        </w:rPr>
      </w:pPr>
    </w:p>
    <w:p w14:paraId="3B246AEB" w14:textId="77777777" w:rsidR="00400BD2" w:rsidRPr="009A3CC6" w:rsidRDefault="00400BD2">
      <w:pPr>
        <w:rPr>
          <w:sz w:val="28"/>
          <w:szCs w:val="28"/>
        </w:rPr>
      </w:pPr>
    </w:p>
    <w:p w14:paraId="7F269395" w14:textId="77777777" w:rsidR="00400BD2" w:rsidRPr="009A3CC6" w:rsidRDefault="00400BD2">
      <w:pPr>
        <w:rPr>
          <w:sz w:val="28"/>
          <w:szCs w:val="28"/>
        </w:rPr>
      </w:pPr>
    </w:p>
    <w:p w14:paraId="05F8AFA5" w14:textId="77777777" w:rsidR="00400BD2" w:rsidRPr="009A3CC6" w:rsidRDefault="00400BD2">
      <w:pPr>
        <w:rPr>
          <w:sz w:val="28"/>
          <w:szCs w:val="28"/>
        </w:rPr>
      </w:pPr>
    </w:p>
    <w:p w14:paraId="307711CD" w14:textId="77777777" w:rsidR="00400BD2" w:rsidRPr="009A3CC6" w:rsidRDefault="00400BD2" w:rsidP="00400BD2">
      <w:pPr>
        <w:spacing w:line="480" w:lineRule="auto"/>
        <w:rPr>
          <w:sz w:val="28"/>
          <w:szCs w:val="28"/>
        </w:rPr>
      </w:pPr>
      <w:r w:rsidRPr="009A3CC6">
        <w:rPr>
          <w:sz w:val="28"/>
          <w:szCs w:val="28"/>
        </w:rPr>
        <w:lastRenderedPageBreak/>
        <w:t xml:space="preserve">STATE OF MINNESOTA </w:t>
      </w:r>
      <w:r w:rsidRPr="009A3CC6">
        <w:rPr>
          <w:sz w:val="28"/>
          <w:szCs w:val="28"/>
        </w:rPr>
        <w:tab/>
      </w:r>
      <w:r w:rsidRPr="009A3CC6">
        <w:rPr>
          <w:sz w:val="28"/>
          <w:szCs w:val="28"/>
        </w:rPr>
        <w:tab/>
      </w:r>
      <w:r w:rsidRPr="009A3CC6">
        <w:rPr>
          <w:sz w:val="28"/>
          <w:szCs w:val="28"/>
        </w:rPr>
        <w:tab/>
      </w:r>
      <w:r w:rsidRPr="009A3CC6">
        <w:rPr>
          <w:sz w:val="28"/>
          <w:szCs w:val="28"/>
        </w:rPr>
        <w:tab/>
        <w:t>DISTRICT COURT</w:t>
      </w:r>
    </w:p>
    <w:p w14:paraId="62F2BC8A" w14:textId="77777777" w:rsidR="00400BD2" w:rsidRPr="009A3CC6" w:rsidRDefault="00400BD2" w:rsidP="00FD6E53">
      <w:pPr>
        <w:rPr>
          <w:sz w:val="28"/>
          <w:szCs w:val="28"/>
        </w:rPr>
      </w:pPr>
      <w:r w:rsidRPr="009A3CC6">
        <w:rPr>
          <w:sz w:val="28"/>
          <w:szCs w:val="28"/>
        </w:rPr>
        <w:t xml:space="preserve">COUNTY OF RAMSEY </w:t>
      </w:r>
      <w:r w:rsidRPr="009A3CC6">
        <w:rPr>
          <w:sz w:val="28"/>
          <w:szCs w:val="28"/>
        </w:rPr>
        <w:tab/>
      </w:r>
      <w:r w:rsidRPr="009A3CC6">
        <w:rPr>
          <w:sz w:val="28"/>
          <w:szCs w:val="28"/>
        </w:rPr>
        <w:tab/>
        <w:t>SECOND JUDICIAL DISTRICT</w:t>
      </w:r>
    </w:p>
    <w:p w14:paraId="1537D686" w14:textId="77777777" w:rsidR="00400BD2" w:rsidRPr="009A3CC6" w:rsidRDefault="00400BD2" w:rsidP="00FD6E53">
      <w:pPr>
        <w:rPr>
          <w:sz w:val="28"/>
          <w:szCs w:val="28"/>
        </w:rPr>
      </w:pPr>
      <w:r w:rsidRPr="009A3CC6">
        <w:rPr>
          <w:sz w:val="28"/>
          <w:szCs w:val="28"/>
        </w:rPr>
        <w:tab/>
      </w:r>
      <w:r w:rsidRPr="009A3CC6">
        <w:rPr>
          <w:sz w:val="28"/>
          <w:szCs w:val="28"/>
        </w:rPr>
        <w:tab/>
      </w:r>
      <w:r w:rsidRPr="009A3CC6">
        <w:rPr>
          <w:sz w:val="28"/>
          <w:szCs w:val="28"/>
        </w:rPr>
        <w:tab/>
      </w:r>
      <w:r w:rsidRPr="009A3CC6">
        <w:rPr>
          <w:sz w:val="28"/>
          <w:szCs w:val="28"/>
        </w:rPr>
        <w:tab/>
      </w:r>
      <w:r w:rsidRPr="009A3CC6">
        <w:rPr>
          <w:sz w:val="28"/>
          <w:szCs w:val="28"/>
        </w:rPr>
        <w:tab/>
      </w:r>
      <w:r w:rsidRPr="009A3CC6">
        <w:rPr>
          <w:sz w:val="28"/>
          <w:szCs w:val="28"/>
        </w:rPr>
        <w:tab/>
        <w:t>CASE TYPE: PERSONAL INJURY</w:t>
      </w:r>
    </w:p>
    <w:p w14:paraId="429AFD7E" w14:textId="77777777" w:rsidR="00FD6E53" w:rsidRDefault="00400BD2" w:rsidP="00400BD2">
      <w:pPr>
        <w:spacing w:line="480" w:lineRule="auto"/>
        <w:rPr>
          <w:sz w:val="28"/>
          <w:szCs w:val="28"/>
        </w:rPr>
      </w:pPr>
      <w:r w:rsidRPr="009A3CC6">
        <w:rPr>
          <w:sz w:val="28"/>
          <w:szCs w:val="28"/>
        </w:rPr>
        <w:tab/>
      </w:r>
      <w:r w:rsidRPr="009A3CC6">
        <w:rPr>
          <w:sz w:val="28"/>
          <w:szCs w:val="28"/>
        </w:rPr>
        <w:tab/>
      </w:r>
      <w:r w:rsidRPr="009A3CC6">
        <w:rPr>
          <w:sz w:val="28"/>
          <w:szCs w:val="28"/>
        </w:rPr>
        <w:tab/>
      </w:r>
      <w:r w:rsidRPr="009A3CC6">
        <w:rPr>
          <w:sz w:val="28"/>
          <w:szCs w:val="28"/>
        </w:rPr>
        <w:tab/>
      </w:r>
      <w:r w:rsidRPr="009A3CC6">
        <w:rPr>
          <w:sz w:val="28"/>
          <w:szCs w:val="28"/>
        </w:rPr>
        <w:tab/>
      </w:r>
      <w:r w:rsidRPr="009A3CC6">
        <w:rPr>
          <w:sz w:val="28"/>
          <w:szCs w:val="28"/>
        </w:rPr>
        <w:tab/>
      </w:r>
      <w:r w:rsidRPr="009A3CC6">
        <w:rPr>
          <w:sz w:val="28"/>
          <w:szCs w:val="28"/>
        </w:rPr>
        <w:tab/>
      </w:r>
    </w:p>
    <w:p w14:paraId="1A2D84BC" w14:textId="4EFBA895" w:rsidR="00400BD2" w:rsidRPr="009A3CC6" w:rsidRDefault="00400BD2" w:rsidP="00FD6E53">
      <w:pPr>
        <w:spacing w:line="480" w:lineRule="auto"/>
        <w:ind w:left="5040" w:firstLine="720"/>
        <w:rPr>
          <w:sz w:val="28"/>
          <w:szCs w:val="28"/>
        </w:rPr>
      </w:pPr>
      <w:r w:rsidRPr="009A3CC6">
        <w:rPr>
          <w:sz w:val="28"/>
          <w:szCs w:val="28"/>
        </w:rPr>
        <w:t>File no. 11-CB-0124</w:t>
      </w:r>
    </w:p>
    <w:p w14:paraId="5F49E0A9" w14:textId="77777777" w:rsidR="00400BD2" w:rsidRPr="009A3CC6" w:rsidRDefault="00400BD2" w:rsidP="00400BD2">
      <w:pPr>
        <w:spacing w:line="480" w:lineRule="auto"/>
        <w:rPr>
          <w:sz w:val="28"/>
          <w:szCs w:val="28"/>
        </w:rPr>
      </w:pPr>
      <w:r w:rsidRPr="009A3CC6">
        <w:rPr>
          <w:sz w:val="28"/>
          <w:szCs w:val="28"/>
        </w:rPr>
        <w:t>_____________________________________</w:t>
      </w:r>
    </w:p>
    <w:p w14:paraId="303C8E5C" w14:textId="77777777" w:rsidR="00400BD2" w:rsidRPr="009A3CC6" w:rsidRDefault="00400BD2" w:rsidP="00400BD2">
      <w:pPr>
        <w:rPr>
          <w:sz w:val="28"/>
          <w:szCs w:val="28"/>
        </w:rPr>
      </w:pPr>
      <w:r w:rsidRPr="009A3CC6">
        <w:rPr>
          <w:sz w:val="28"/>
          <w:szCs w:val="28"/>
        </w:rPr>
        <w:t xml:space="preserve">Leslie Miles, as Trustee for Jonathon Miles, </w:t>
      </w:r>
    </w:p>
    <w:p w14:paraId="1E2E2688" w14:textId="77777777" w:rsidR="00400BD2" w:rsidRPr="009A3CC6" w:rsidRDefault="00400BD2" w:rsidP="00400BD2">
      <w:pPr>
        <w:ind w:left="3600"/>
        <w:rPr>
          <w:sz w:val="28"/>
          <w:szCs w:val="28"/>
        </w:rPr>
      </w:pPr>
      <w:r w:rsidRPr="009A3CC6">
        <w:rPr>
          <w:sz w:val="28"/>
          <w:szCs w:val="28"/>
        </w:rPr>
        <w:t xml:space="preserve">      Plaintiff</w:t>
      </w:r>
    </w:p>
    <w:p w14:paraId="6B88F157" w14:textId="77777777" w:rsidR="00400BD2" w:rsidRPr="009A3CC6" w:rsidRDefault="00400BD2" w:rsidP="00400BD2">
      <w:pPr>
        <w:rPr>
          <w:b/>
          <w:sz w:val="28"/>
          <w:szCs w:val="28"/>
        </w:rPr>
      </w:pPr>
      <w:r w:rsidRPr="009A3CC6">
        <w:rPr>
          <w:sz w:val="28"/>
          <w:szCs w:val="28"/>
        </w:rPr>
        <w:tab/>
      </w:r>
      <w:r w:rsidRPr="009A3CC6">
        <w:rPr>
          <w:sz w:val="28"/>
          <w:szCs w:val="28"/>
        </w:rPr>
        <w:tab/>
        <w:t xml:space="preserve">v. </w:t>
      </w:r>
      <w:r w:rsidRPr="009A3CC6">
        <w:rPr>
          <w:sz w:val="28"/>
          <w:szCs w:val="28"/>
        </w:rPr>
        <w:tab/>
      </w:r>
      <w:r w:rsidRPr="009A3CC6">
        <w:rPr>
          <w:sz w:val="28"/>
          <w:szCs w:val="28"/>
        </w:rPr>
        <w:tab/>
      </w:r>
      <w:r w:rsidRPr="009A3CC6">
        <w:rPr>
          <w:sz w:val="28"/>
          <w:szCs w:val="28"/>
        </w:rPr>
        <w:tab/>
      </w:r>
      <w:r w:rsidRPr="009A3CC6">
        <w:rPr>
          <w:sz w:val="28"/>
          <w:szCs w:val="28"/>
        </w:rPr>
        <w:tab/>
      </w:r>
      <w:r w:rsidRPr="009A3CC6">
        <w:rPr>
          <w:sz w:val="28"/>
          <w:szCs w:val="28"/>
        </w:rPr>
        <w:tab/>
        <w:t xml:space="preserve">     </w:t>
      </w:r>
      <w:r w:rsidRPr="009A3CC6">
        <w:rPr>
          <w:b/>
          <w:sz w:val="28"/>
          <w:szCs w:val="28"/>
        </w:rPr>
        <w:t xml:space="preserve">Defendant’s Memorandum </w:t>
      </w:r>
    </w:p>
    <w:p w14:paraId="7F9F90CF" w14:textId="77777777" w:rsidR="00400BD2" w:rsidRPr="009A3CC6" w:rsidRDefault="00400BD2" w:rsidP="00400BD2">
      <w:pPr>
        <w:rPr>
          <w:b/>
          <w:sz w:val="28"/>
          <w:szCs w:val="28"/>
        </w:rPr>
      </w:pPr>
      <w:r w:rsidRPr="009A3CC6">
        <w:rPr>
          <w:sz w:val="28"/>
          <w:szCs w:val="28"/>
        </w:rPr>
        <w:t xml:space="preserve">Paul Wager, </w:t>
      </w:r>
      <w:r w:rsidRPr="009A3CC6">
        <w:rPr>
          <w:sz w:val="28"/>
          <w:szCs w:val="28"/>
        </w:rPr>
        <w:tab/>
      </w:r>
      <w:r w:rsidRPr="009A3CC6">
        <w:rPr>
          <w:sz w:val="28"/>
          <w:szCs w:val="28"/>
        </w:rPr>
        <w:tab/>
      </w:r>
      <w:r w:rsidRPr="009A3CC6">
        <w:rPr>
          <w:sz w:val="28"/>
          <w:szCs w:val="28"/>
        </w:rPr>
        <w:tab/>
      </w:r>
      <w:r w:rsidRPr="009A3CC6">
        <w:rPr>
          <w:sz w:val="28"/>
          <w:szCs w:val="28"/>
        </w:rPr>
        <w:tab/>
      </w:r>
      <w:r w:rsidRPr="009A3CC6">
        <w:rPr>
          <w:sz w:val="28"/>
          <w:szCs w:val="28"/>
        </w:rPr>
        <w:tab/>
      </w:r>
      <w:r w:rsidRPr="009A3CC6">
        <w:rPr>
          <w:sz w:val="28"/>
          <w:szCs w:val="28"/>
        </w:rPr>
        <w:tab/>
      </w:r>
      <w:r w:rsidRPr="009A3CC6">
        <w:rPr>
          <w:sz w:val="28"/>
          <w:szCs w:val="28"/>
        </w:rPr>
        <w:tab/>
      </w:r>
      <w:r w:rsidRPr="009A3CC6">
        <w:rPr>
          <w:b/>
          <w:sz w:val="28"/>
          <w:szCs w:val="28"/>
        </w:rPr>
        <w:t xml:space="preserve">Supporting </w:t>
      </w:r>
    </w:p>
    <w:p w14:paraId="27835F4B" w14:textId="77777777" w:rsidR="00400BD2" w:rsidRPr="009A3CC6" w:rsidRDefault="00400BD2" w:rsidP="00400BD2">
      <w:pPr>
        <w:rPr>
          <w:b/>
          <w:sz w:val="28"/>
          <w:szCs w:val="28"/>
        </w:rPr>
      </w:pPr>
      <w:r w:rsidRPr="009A3CC6">
        <w:rPr>
          <w:sz w:val="28"/>
          <w:szCs w:val="28"/>
        </w:rPr>
        <w:t xml:space="preserve">                                                       Defendant </w:t>
      </w:r>
      <w:r w:rsidRPr="009A3CC6">
        <w:rPr>
          <w:sz w:val="28"/>
          <w:szCs w:val="28"/>
        </w:rPr>
        <w:tab/>
        <w:t xml:space="preserve">    </w:t>
      </w:r>
      <w:r w:rsidRPr="009A3CC6">
        <w:rPr>
          <w:b/>
          <w:sz w:val="28"/>
          <w:szCs w:val="28"/>
        </w:rPr>
        <w:t xml:space="preserve">Summary Judgment </w:t>
      </w:r>
    </w:p>
    <w:p w14:paraId="75EB9117" w14:textId="77777777" w:rsidR="00400BD2" w:rsidRPr="009A3CC6" w:rsidRDefault="00400BD2" w:rsidP="00400BD2">
      <w:pPr>
        <w:rPr>
          <w:sz w:val="28"/>
          <w:szCs w:val="28"/>
        </w:rPr>
      </w:pPr>
      <w:r w:rsidRPr="009A3CC6">
        <w:rPr>
          <w:sz w:val="28"/>
          <w:szCs w:val="28"/>
        </w:rPr>
        <w:t>_____________________________________</w:t>
      </w:r>
    </w:p>
    <w:p w14:paraId="692A1F2E" w14:textId="77777777" w:rsidR="00400BD2" w:rsidRDefault="00400BD2" w:rsidP="00400BD2">
      <w:pPr>
        <w:rPr>
          <w:sz w:val="28"/>
          <w:szCs w:val="28"/>
        </w:rPr>
      </w:pPr>
    </w:p>
    <w:p w14:paraId="24DF196C" w14:textId="77777777" w:rsidR="00E23B7F" w:rsidRPr="009A3CC6" w:rsidRDefault="00E23B7F" w:rsidP="00400BD2">
      <w:pPr>
        <w:rPr>
          <w:sz w:val="28"/>
          <w:szCs w:val="28"/>
        </w:rPr>
      </w:pPr>
    </w:p>
    <w:p w14:paraId="446F6ED6" w14:textId="62C01051" w:rsidR="00FD6E53" w:rsidRDefault="00FD6E53" w:rsidP="00FD6E53">
      <w:pPr>
        <w:jc w:val="center"/>
        <w:rPr>
          <w:b/>
          <w:sz w:val="28"/>
          <w:szCs w:val="28"/>
        </w:rPr>
      </w:pPr>
      <w:r>
        <w:rPr>
          <w:b/>
          <w:sz w:val="28"/>
          <w:szCs w:val="28"/>
        </w:rPr>
        <w:t>SUMMARY</w:t>
      </w:r>
    </w:p>
    <w:p w14:paraId="01FBD2C0" w14:textId="77777777" w:rsidR="00FD6E53" w:rsidRPr="00E512E3" w:rsidRDefault="00FD6E53" w:rsidP="00FD6E53">
      <w:pPr>
        <w:jc w:val="center"/>
        <w:rPr>
          <w:sz w:val="28"/>
          <w:szCs w:val="28"/>
        </w:rPr>
      </w:pPr>
    </w:p>
    <w:p w14:paraId="34D0BC69" w14:textId="2FD4538A" w:rsidR="00FD6E53" w:rsidRDefault="00FD6E53" w:rsidP="00FD6E53">
      <w:pPr>
        <w:spacing w:line="480" w:lineRule="auto"/>
        <w:rPr>
          <w:sz w:val="28"/>
          <w:szCs w:val="28"/>
        </w:rPr>
      </w:pPr>
      <w:r w:rsidRPr="00E512E3">
        <w:rPr>
          <w:sz w:val="28"/>
          <w:szCs w:val="28"/>
        </w:rPr>
        <w:tab/>
        <w:t xml:space="preserve">Defendant, Paul Wager, a bank teller at Elmo National Bank, was the live-in boyfriend of Mary Atticus, mother of Justin Atticus. Justin Atticus is responsible for the death of </w:t>
      </w:r>
      <w:r w:rsidR="00DB1B2B">
        <w:rPr>
          <w:sz w:val="28"/>
          <w:szCs w:val="28"/>
        </w:rPr>
        <w:t>the P</w:t>
      </w:r>
      <w:r>
        <w:rPr>
          <w:sz w:val="28"/>
          <w:szCs w:val="28"/>
        </w:rPr>
        <w:t>laintiff</w:t>
      </w:r>
      <w:r w:rsidRPr="00E512E3">
        <w:rPr>
          <w:sz w:val="28"/>
          <w:szCs w:val="28"/>
        </w:rPr>
        <w:t>. The Plaintiff is trying to establish tha</w:t>
      </w:r>
      <w:r>
        <w:rPr>
          <w:sz w:val="28"/>
          <w:szCs w:val="28"/>
        </w:rPr>
        <w:t>t Wager is liable for negligent breach of</w:t>
      </w:r>
      <w:r w:rsidRPr="00E512E3">
        <w:rPr>
          <w:sz w:val="28"/>
          <w:szCs w:val="28"/>
        </w:rPr>
        <w:t xml:space="preserve"> his duty to warn </w:t>
      </w:r>
      <w:r>
        <w:rPr>
          <w:sz w:val="28"/>
          <w:szCs w:val="28"/>
        </w:rPr>
        <w:t xml:space="preserve">Miles. At the time Wager allowed Atticus to move into his house while his mom was away, Atticus was almost 18 and a high school senior. Wager was not aware of the crime until after it was committed. </w:t>
      </w:r>
    </w:p>
    <w:p w14:paraId="46D8C583" w14:textId="77777777" w:rsidR="00FD6E53" w:rsidRPr="00E512E3" w:rsidRDefault="00FD6E53" w:rsidP="00FD6E53">
      <w:pPr>
        <w:spacing w:line="480" w:lineRule="auto"/>
        <w:ind w:firstLine="720"/>
        <w:rPr>
          <w:sz w:val="28"/>
          <w:szCs w:val="28"/>
        </w:rPr>
      </w:pPr>
      <w:r>
        <w:rPr>
          <w:sz w:val="28"/>
          <w:szCs w:val="28"/>
        </w:rPr>
        <w:t xml:space="preserve">To establish a duty to warn, the Plaintiff must prove that a special relationship existed, that the act was foreseeable, and that there was a specific threat of harm to a specific person. There is an absence of all three elements necessary to hold Wager to a duty to warn. Since Atticus is not Wager’s biological son and Wager never accepted parental custody of Atticus, there is no special relationship. The act was not foreseeable due to the lack of violence in Atticus’s past and Wager’s lack of knowledge. Finally, Atticus’s threat is not specific as it does not indicate about whom he was speaking nor what act he intended to commit. </w:t>
      </w:r>
      <w:r w:rsidRPr="00E512E3">
        <w:rPr>
          <w:sz w:val="28"/>
          <w:szCs w:val="28"/>
        </w:rPr>
        <w:t>Therefore, Wager had no duty to warn Miles of a specific threat of harm</w:t>
      </w:r>
      <w:r>
        <w:rPr>
          <w:sz w:val="28"/>
          <w:szCs w:val="28"/>
        </w:rPr>
        <w:t>, and thus,</w:t>
      </w:r>
      <w:r>
        <w:rPr>
          <w:b/>
          <w:sz w:val="28"/>
          <w:szCs w:val="28"/>
        </w:rPr>
        <w:t xml:space="preserve"> </w:t>
      </w:r>
      <w:r w:rsidRPr="00E512E3">
        <w:rPr>
          <w:sz w:val="28"/>
          <w:szCs w:val="28"/>
        </w:rPr>
        <w:t xml:space="preserve">cannot be found liable. </w:t>
      </w:r>
    </w:p>
    <w:p w14:paraId="6EE65193" w14:textId="4576E5C3" w:rsidR="00FD6E53" w:rsidRPr="00E512E3" w:rsidRDefault="00FD6E53" w:rsidP="00FD6E53">
      <w:pPr>
        <w:spacing w:line="480" w:lineRule="auto"/>
        <w:ind w:firstLine="720"/>
        <w:rPr>
          <w:sz w:val="28"/>
          <w:szCs w:val="28"/>
        </w:rPr>
      </w:pPr>
      <w:r>
        <w:rPr>
          <w:sz w:val="28"/>
          <w:szCs w:val="28"/>
        </w:rPr>
        <w:t>As a result,</w:t>
      </w:r>
      <w:r>
        <w:rPr>
          <w:b/>
          <w:sz w:val="28"/>
          <w:szCs w:val="28"/>
        </w:rPr>
        <w:t xml:space="preserve"> </w:t>
      </w:r>
      <w:r>
        <w:rPr>
          <w:sz w:val="28"/>
          <w:szCs w:val="28"/>
        </w:rPr>
        <w:t>t</w:t>
      </w:r>
      <w:r w:rsidRPr="00E512E3">
        <w:rPr>
          <w:sz w:val="28"/>
          <w:szCs w:val="28"/>
        </w:rPr>
        <w:t xml:space="preserve">he </w:t>
      </w:r>
      <w:r>
        <w:rPr>
          <w:sz w:val="28"/>
          <w:szCs w:val="28"/>
        </w:rPr>
        <w:t xml:space="preserve">Defendant requests that the court grant summary judgment </w:t>
      </w:r>
      <w:r w:rsidRPr="00E512E3">
        <w:rPr>
          <w:sz w:val="28"/>
          <w:szCs w:val="28"/>
        </w:rPr>
        <w:t>pursuant to Minne</w:t>
      </w:r>
      <w:r>
        <w:rPr>
          <w:sz w:val="28"/>
          <w:szCs w:val="28"/>
        </w:rPr>
        <w:t xml:space="preserve">sota Rule of Civil Procedure 56 because </w:t>
      </w:r>
      <w:r w:rsidRPr="00E512E3">
        <w:rPr>
          <w:sz w:val="28"/>
          <w:szCs w:val="28"/>
        </w:rPr>
        <w:t>there is no dispute of material fa</w:t>
      </w:r>
      <w:r w:rsidRPr="00517F2D">
        <w:rPr>
          <w:sz w:val="28"/>
          <w:szCs w:val="28"/>
        </w:rPr>
        <w:t xml:space="preserve">ct and the Defendant is entitled to judgment as a matter of law. </w:t>
      </w:r>
    </w:p>
    <w:p w14:paraId="14D474E8" w14:textId="672D071E" w:rsidR="00FD6E53" w:rsidRPr="00E512E3" w:rsidRDefault="00FD6E53" w:rsidP="00FD6E53">
      <w:pPr>
        <w:spacing w:line="480" w:lineRule="auto"/>
        <w:ind w:firstLine="720"/>
        <w:jc w:val="center"/>
        <w:rPr>
          <w:sz w:val="28"/>
          <w:szCs w:val="28"/>
        </w:rPr>
      </w:pPr>
      <w:r w:rsidRPr="00E512E3">
        <w:rPr>
          <w:b/>
          <w:sz w:val="28"/>
          <w:szCs w:val="28"/>
        </w:rPr>
        <w:t>F</w:t>
      </w:r>
      <w:r>
        <w:rPr>
          <w:b/>
          <w:sz w:val="28"/>
          <w:szCs w:val="28"/>
        </w:rPr>
        <w:t>ACTS</w:t>
      </w:r>
    </w:p>
    <w:p w14:paraId="3595AF8A" w14:textId="77777777" w:rsidR="00FD6E53" w:rsidRPr="00E512E3" w:rsidRDefault="00FD6E53" w:rsidP="00FD6E53">
      <w:pPr>
        <w:spacing w:line="480" w:lineRule="auto"/>
        <w:rPr>
          <w:sz w:val="28"/>
          <w:szCs w:val="28"/>
        </w:rPr>
      </w:pPr>
      <w:r w:rsidRPr="00E512E3">
        <w:rPr>
          <w:sz w:val="28"/>
          <w:szCs w:val="28"/>
        </w:rPr>
        <w:tab/>
        <w:t xml:space="preserve">Mary Atticus and her son, Justin Atticus, moved in with Wager in June of 2009. When Mary left for Afghanistan, </w:t>
      </w:r>
      <w:r>
        <w:rPr>
          <w:sz w:val="28"/>
          <w:szCs w:val="28"/>
        </w:rPr>
        <w:t>Atticus remained in Wager’s house</w:t>
      </w:r>
      <w:r w:rsidRPr="00E512E3">
        <w:rPr>
          <w:sz w:val="28"/>
          <w:szCs w:val="28"/>
        </w:rPr>
        <w:t>.</w:t>
      </w:r>
      <w:r>
        <w:rPr>
          <w:sz w:val="28"/>
          <w:szCs w:val="28"/>
        </w:rPr>
        <w:t xml:space="preserve"> Atticus Dep. 141.</w:t>
      </w:r>
      <w:r w:rsidRPr="00E512E3">
        <w:rPr>
          <w:sz w:val="28"/>
          <w:szCs w:val="28"/>
        </w:rPr>
        <w:t xml:space="preserve"> While Wager admits to enjoying fatherly activities with Atticus, such as coaching his sports team, and acknowledges that he tried to maintain a disciplinarian role when Atticus was getting into trouble at school, he asserts that he did not think his role would be Atticus’s caretaker. Wager Dep. 25, 30. </w:t>
      </w:r>
      <w:r>
        <w:rPr>
          <w:sz w:val="28"/>
          <w:szCs w:val="28"/>
        </w:rPr>
        <w:t xml:space="preserve">In his deposition </w:t>
      </w:r>
      <w:r w:rsidRPr="00E512E3">
        <w:rPr>
          <w:sz w:val="28"/>
          <w:szCs w:val="28"/>
        </w:rPr>
        <w:t xml:space="preserve">Wager </w:t>
      </w:r>
      <w:r>
        <w:rPr>
          <w:sz w:val="28"/>
          <w:szCs w:val="28"/>
        </w:rPr>
        <w:t xml:space="preserve">stated that because </w:t>
      </w:r>
      <w:r w:rsidRPr="00E512E3">
        <w:rPr>
          <w:sz w:val="28"/>
          <w:szCs w:val="28"/>
        </w:rPr>
        <w:t>Atticus was nearly 18, he thought of him as an independent young man and had never though</w:t>
      </w:r>
      <w:r>
        <w:rPr>
          <w:sz w:val="28"/>
          <w:szCs w:val="28"/>
        </w:rPr>
        <w:t>t</w:t>
      </w:r>
      <w:r w:rsidRPr="00E512E3">
        <w:rPr>
          <w:sz w:val="28"/>
          <w:szCs w:val="28"/>
        </w:rPr>
        <w:t xml:space="preserve"> of adopting Justin, even despite talk with Mary of eventual marriage. Wager Dep. 41. </w:t>
      </w:r>
    </w:p>
    <w:p w14:paraId="4A7C1102" w14:textId="77777777" w:rsidR="00FD6E53" w:rsidRPr="00E512E3" w:rsidRDefault="00FD6E53" w:rsidP="00FD6E53">
      <w:pPr>
        <w:spacing w:line="480" w:lineRule="auto"/>
        <w:rPr>
          <w:sz w:val="28"/>
          <w:szCs w:val="28"/>
        </w:rPr>
      </w:pPr>
      <w:r w:rsidRPr="00E512E3">
        <w:rPr>
          <w:sz w:val="28"/>
          <w:szCs w:val="28"/>
        </w:rPr>
        <w:tab/>
        <w:t xml:space="preserve">Atticus had gotten into some typical high school trouble the summer of 2010 with an arrest for underage drinking and smoking marijuana. Mary Atticus Dep. 60. Later, Atticus made some new friends who were interested in the theater and seemed to be a good influence on him, even spending time at Wager’s home. Marry Atticus Dep. 60. Atticus tried auditioned for a part in his high school’s production “West Side Story,” which was directed by the decedent. Atticus learned at 3:00 p.m. on October 10 that he was not selected for a part and the decedent heard Atticus say, </w:t>
      </w:r>
      <w:r>
        <w:rPr>
          <w:sz w:val="28"/>
          <w:szCs w:val="28"/>
        </w:rPr>
        <w:t>“</w:t>
      </w:r>
      <w:proofErr w:type="spellStart"/>
      <w:r w:rsidRPr="00E512E3">
        <w:rPr>
          <w:sz w:val="28"/>
          <w:szCs w:val="28"/>
        </w:rPr>
        <w:t>Damnnit</w:t>
      </w:r>
      <w:proofErr w:type="spellEnd"/>
      <w:r w:rsidRPr="00E512E3">
        <w:rPr>
          <w:sz w:val="28"/>
          <w:szCs w:val="28"/>
        </w:rPr>
        <w:t xml:space="preserve">, I didn’t make it, that bastard Miles will get it some day.” </w:t>
      </w:r>
      <w:r>
        <w:rPr>
          <w:sz w:val="28"/>
          <w:szCs w:val="28"/>
        </w:rPr>
        <w:t xml:space="preserve">Atticus Dep. 86. </w:t>
      </w:r>
      <w:r w:rsidRPr="00E512E3">
        <w:rPr>
          <w:sz w:val="28"/>
          <w:szCs w:val="28"/>
        </w:rPr>
        <w:t xml:space="preserve">Following the comment, a conference was held between decedent and Mary Atticus where she was informed of the threat and during which Atticus apologized to the decedent. </w:t>
      </w:r>
      <w:proofErr w:type="spellStart"/>
      <w:r w:rsidRPr="00E512E3">
        <w:rPr>
          <w:sz w:val="28"/>
          <w:szCs w:val="28"/>
        </w:rPr>
        <w:t>Compl</w:t>
      </w:r>
      <w:proofErr w:type="spellEnd"/>
      <w:r w:rsidRPr="00E512E3">
        <w:rPr>
          <w:sz w:val="28"/>
          <w:szCs w:val="28"/>
        </w:rPr>
        <w:t xml:space="preserve">. ¶ 6. Atticus did not take any action on his threat and </w:t>
      </w:r>
      <w:r>
        <w:rPr>
          <w:sz w:val="28"/>
          <w:szCs w:val="28"/>
        </w:rPr>
        <w:t xml:space="preserve">no further action was taken as to the incident. Atticus Dep. 141. </w:t>
      </w:r>
    </w:p>
    <w:p w14:paraId="14A54555" w14:textId="77777777" w:rsidR="00FD6E53" w:rsidRPr="00E512E3" w:rsidRDefault="00FD6E53" w:rsidP="00FD6E53">
      <w:pPr>
        <w:spacing w:line="480" w:lineRule="auto"/>
        <w:ind w:firstLine="720"/>
        <w:rPr>
          <w:sz w:val="28"/>
          <w:szCs w:val="28"/>
        </w:rPr>
      </w:pPr>
      <w:r w:rsidRPr="00E512E3">
        <w:rPr>
          <w:sz w:val="28"/>
          <w:szCs w:val="28"/>
        </w:rPr>
        <w:t xml:space="preserve">Mary Atticus </w:t>
      </w:r>
      <w:r>
        <w:rPr>
          <w:sz w:val="28"/>
          <w:szCs w:val="28"/>
        </w:rPr>
        <w:t>stated</w:t>
      </w:r>
      <w:r w:rsidRPr="00E512E3">
        <w:rPr>
          <w:sz w:val="28"/>
          <w:szCs w:val="28"/>
        </w:rPr>
        <w:t xml:space="preserve"> that Atticus had never exhibited violent behavior toward anyone and that his reaction was out of disappointment. Mary Atticus Dep. 86. In fact, when she left for Afghanistan she said Justin was doing well and had been accepted to </w:t>
      </w:r>
      <w:proofErr w:type="spellStart"/>
      <w:r w:rsidRPr="00E512E3">
        <w:rPr>
          <w:sz w:val="28"/>
          <w:szCs w:val="28"/>
        </w:rPr>
        <w:t>Normandale</w:t>
      </w:r>
      <w:proofErr w:type="spellEnd"/>
      <w:r w:rsidRPr="00E512E3">
        <w:rPr>
          <w:sz w:val="28"/>
          <w:szCs w:val="28"/>
        </w:rPr>
        <w:t xml:space="preserve"> Community College where he intended to study communications. Mary Atticus Dep. 197. Jenny Alcove, the English teacher at Lake Elmo High School reported that Atticus was cooperative in class and seemed to be “upbeat” and doing well in his classes after the incident following his cut from the first play. </w:t>
      </w:r>
      <w:proofErr w:type="gramStart"/>
      <w:r w:rsidRPr="00E512E3">
        <w:rPr>
          <w:sz w:val="28"/>
          <w:szCs w:val="28"/>
        </w:rPr>
        <w:t>Alcove Dep. 23.</w:t>
      </w:r>
      <w:proofErr w:type="gramEnd"/>
    </w:p>
    <w:p w14:paraId="23618BEC" w14:textId="7F14F99E" w:rsidR="00FD6E53" w:rsidRPr="00E512E3" w:rsidRDefault="00FD6E53" w:rsidP="00FD6E53">
      <w:pPr>
        <w:spacing w:line="480" w:lineRule="auto"/>
        <w:ind w:firstLine="720"/>
        <w:rPr>
          <w:sz w:val="28"/>
          <w:szCs w:val="28"/>
        </w:rPr>
      </w:pPr>
      <w:r w:rsidRPr="00E512E3">
        <w:rPr>
          <w:sz w:val="28"/>
          <w:szCs w:val="28"/>
        </w:rPr>
        <w:t xml:space="preserve">Wager was aware that Atticus was taking prescription drugs Ritalin for his Attention Deficit Hyperactive Disorder (ADHD) and </w:t>
      </w:r>
      <w:proofErr w:type="spellStart"/>
      <w:r w:rsidRPr="00E512E3">
        <w:rPr>
          <w:sz w:val="28"/>
          <w:szCs w:val="28"/>
        </w:rPr>
        <w:t>Fluoretine</w:t>
      </w:r>
      <w:proofErr w:type="spellEnd"/>
      <w:r w:rsidRPr="00E512E3">
        <w:rPr>
          <w:sz w:val="28"/>
          <w:szCs w:val="28"/>
        </w:rPr>
        <w:t xml:space="preserve"> for his depression, but had a strong aversion to psychiatric medication and did not believe Atticus’s diagnoses of ADHD and Oppositional Defiance Disorder (O.D.D.). Wager Dep. 25. Wager was also aware that Atticus stopped taking his medication for depression in February, but supported his decision. </w:t>
      </w:r>
      <w:r>
        <w:rPr>
          <w:sz w:val="28"/>
          <w:szCs w:val="28"/>
        </w:rPr>
        <w:t xml:space="preserve">Wager Dep. 37. </w:t>
      </w:r>
      <w:r w:rsidRPr="00E512E3">
        <w:rPr>
          <w:sz w:val="28"/>
          <w:szCs w:val="28"/>
        </w:rPr>
        <w:t>Neither Wager nor Atticus consulted with A</w:t>
      </w:r>
      <w:r>
        <w:rPr>
          <w:sz w:val="28"/>
          <w:szCs w:val="28"/>
        </w:rPr>
        <w:t>tticus’s doctor because Wager “knew what he would say”</w:t>
      </w:r>
      <w:r w:rsidR="0098001D">
        <w:rPr>
          <w:sz w:val="28"/>
          <w:szCs w:val="28"/>
        </w:rPr>
        <w:t xml:space="preserve"> </w:t>
      </w:r>
      <w:r>
        <w:rPr>
          <w:sz w:val="28"/>
          <w:szCs w:val="28"/>
        </w:rPr>
        <w:t xml:space="preserve">and Atticus seemed happier. </w:t>
      </w:r>
      <w:r w:rsidRPr="00E512E3">
        <w:rPr>
          <w:sz w:val="28"/>
          <w:szCs w:val="28"/>
        </w:rPr>
        <w:t>Wager Dep. 37.  Mary Atticus learned through a discussion with Atticus that Wager had told him to do what he wanted in terms of his medication and that Atticus was old enoug</w:t>
      </w:r>
      <w:r>
        <w:rPr>
          <w:sz w:val="28"/>
          <w:szCs w:val="28"/>
        </w:rPr>
        <w:t>h to take care of himself.</w:t>
      </w:r>
      <w:r w:rsidRPr="00E512E3">
        <w:rPr>
          <w:sz w:val="28"/>
          <w:szCs w:val="28"/>
        </w:rPr>
        <w:t xml:space="preserve"> Atticus Dep. 197. </w:t>
      </w:r>
    </w:p>
    <w:p w14:paraId="70419F7E" w14:textId="77777777" w:rsidR="00FD6E53" w:rsidRPr="00E512E3" w:rsidRDefault="00FD6E53" w:rsidP="00FD6E53">
      <w:pPr>
        <w:spacing w:line="480" w:lineRule="auto"/>
        <w:ind w:firstLine="720"/>
        <w:rPr>
          <w:sz w:val="28"/>
          <w:szCs w:val="28"/>
        </w:rPr>
      </w:pPr>
      <w:r w:rsidRPr="00E512E3">
        <w:rPr>
          <w:sz w:val="28"/>
          <w:szCs w:val="28"/>
        </w:rPr>
        <w:t>Atticus tried out for the cast in the school’s spring produc</w:t>
      </w:r>
      <w:r>
        <w:rPr>
          <w:sz w:val="28"/>
          <w:szCs w:val="28"/>
        </w:rPr>
        <w:t>tion, also directed by the dece</w:t>
      </w:r>
      <w:r w:rsidRPr="00E512E3">
        <w:rPr>
          <w:sz w:val="28"/>
          <w:szCs w:val="28"/>
        </w:rPr>
        <w:t xml:space="preserve">dent, “Cyrano de Bergerac.” </w:t>
      </w:r>
      <w:r>
        <w:rPr>
          <w:sz w:val="28"/>
          <w:szCs w:val="28"/>
        </w:rPr>
        <w:t xml:space="preserve">In his deposition </w:t>
      </w:r>
      <w:r w:rsidRPr="00E512E3">
        <w:rPr>
          <w:sz w:val="28"/>
          <w:szCs w:val="28"/>
        </w:rPr>
        <w:t>Wager describe</w:t>
      </w:r>
      <w:r>
        <w:rPr>
          <w:sz w:val="28"/>
          <w:szCs w:val="28"/>
        </w:rPr>
        <w:t>d</w:t>
      </w:r>
      <w:r w:rsidRPr="00E512E3">
        <w:rPr>
          <w:sz w:val="28"/>
          <w:szCs w:val="28"/>
        </w:rPr>
        <w:t xml:space="preserve"> the night of March 21, 2011, the night Atticus learned he was cut from the second play. He stated that he came home from work around 6:00 p.m. to find Atticus in the kitchen. Atticus was having a beer, which he told Wager was supplied by his friends and said that he was going to drink the whole six-pack. Atticus then told Wager he was going to, “Get even with that jerk if it kills me.” </w:t>
      </w:r>
      <w:r>
        <w:rPr>
          <w:sz w:val="28"/>
          <w:szCs w:val="28"/>
        </w:rPr>
        <w:t>Wager Dep. 51.</w:t>
      </w:r>
      <w:r w:rsidRPr="00E512E3">
        <w:rPr>
          <w:sz w:val="28"/>
          <w:szCs w:val="28"/>
        </w:rPr>
        <w:t xml:space="preserve">When Wager asked what Atticus meant by it, Atticus said he did not want to talk about it and left the room. </w:t>
      </w:r>
      <w:r>
        <w:rPr>
          <w:sz w:val="28"/>
          <w:szCs w:val="28"/>
        </w:rPr>
        <w:t xml:space="preserve">Wager Dep. 51. </w:t>
      </w:r>
      <w:r w:rsidRPr="00E512E3">
        <w:rPr>
          <w:sz w:val="28"/>
          <w:szCs w:val="28"/>
        </w:rPr>
        <w:t xml:space="preserve">Wager had not yet learned that Atticus did not make the cut for the second play. The next morning Wager was called at the bank and asked to come to the police station where he was informed that Atticus had fatally stabbed Miles. Wager Dep. 51. </w:t>
      </w:r>
    </w:p>
    <w:p w14:paraId="0FFB236C" w14:textId="77777777" w:rsidR="00400BD2" w:rsidRPr="009A3CC6" w:rsidRDefault="00400BD2" w:rsidP="00400BD2">
      <w:pPr>
        <w:rPr>
          <w:sz w:val="28"/>
          <w:szCs w:val="28"/>
        </w:rPr>
      </w:pPr>
    </w:p>
    <w:p w14:paraId="308A9571" w14:textId="77777777" w:rsidR="00400BD2" w:rsidRDefault="00400BD2" w:rsidP="00400BD2">
      <w:pPr>
        <w:jc w:val="center"/>
        <w:rPr>
          <w:b/>
          <w:sz w:val="28"/>
          <w:szCs w:val="28"/>
        </w:rPr>
      </w:pPr>
      <w:r w:rsidRPr="009A3CC6">
        <w:rPr>
          <w:b/>
          <w:sz w:val="28"/>
          <w:szCs w:val="28"/>
        </w:rPr>
        <w:t>ARGUMENT</w:t>
      </w:r>
    </w:p>
    <w:p w14:paraId="0513FC22" w14:textId="77777777" w:rsidR="00CE3C20" w:rsidRPr="009A3CC6" w:rsidRDefault="00CE3C20" w:rsidP="00400BD2">
      <w:pPr>
        <w:jc w:val="center"/>
        <w:rPr>
          <w:sz w:val="28"/>
          <w:szCs w:val="28"/>
        </w:rPr>
      </w:pPr>
    </w:p>
    <w:p w14:paraId="4F93D429" w14:textId="77777777" w:rsidR="00400BD2" w:rsidRPr="009A3CC6" w:rsidRDefault="00400BD2" w:rsidP="00400BD2">
      <w:pPr>
        <w:spacing w:line="480" w:lineRule="auto"/>
        <w:rPr>
          <w:sz w:val="28"/>
          <w:szCs w:val="28"/>
        </w:rPr>
      </w:pPr>
      <w:r w:rsidRPr="009A3CC6">
        <w:rPr>
          <w:sz w:val="28"/>
          <w:szCs w:val="28"/>
        </w:rPr>
        <w:tab/>
        <w:t xml:space="preserve">Defendant, Paul Wager, seeks summary judgment under Minnesota Rule of Civil Procedure 56 dismissing Plaintiff’s claim for damages due to a failure to warn Jonathon Miles of a specific threat of harm. Defendant will prove that there is no dispute of material fact and that he is entitled to summary judgment as a matter of law. </w:t>
      </w:r>
      <w:proofErr w:type="gramStart"/>
      <w:r w:rsidRPr="009A3CC6">
        <w:rPr>
          <w:sz w:val="28"/>
          <w:szCs w:val="28"/>
        </w:rPr>
        <w:t>Minnesota Statutes Annotated Rules of Civil Procedure for the District Courts Rule 56 (</w:t>
      </w:r>
      <w:proofErr w:type="spellStart"/>
      <w:r w:rsidRPr="009A3CC6">
        <w:rPr>
          <w:sz w:val="28"/>
          <w:szCs w:val="28"/>
        </w:rPr>
        <w:t>WestLaw</w:t>
      </w:r>
      <w:proofErr w:type="spellEnd"/>
      <w:r w:rsidRPr="009A3CC6">
        <w:rPr>
          <w:sz w:val="28"/>
          <w:szCs w:val="28"/>
        </w:rPr>
        <w:t>).</w:t>
      </w:r>
      <w:proofErr w:type="gramEnd"/>
    </w:p>
    <w:p w14:paraId="753F0700" w14:textId="77777777" w:rsidR="00AB52C3" w:rsidRPr="009A3CC6" w:rsidRDefault="00AB52C3" w:rsidP="00400BD2">
      <w:pPr>
        <w:spacing w:line="480" w:lineRule="auto"/>
        <w:rPr>
          <w:sz w:val="28"/>
          <w:szCs w:val="28"/>
        </w:rPr>
      </w:pPr>
    </w:p>
    <w:p w14:paraId="0DFC909A" w14:textId="77777777" w:rsidR="00AB52C3" w:rsidRPr="009A3CC6" w:rsidRDefault="00AB52C3" w:rsidP="00AB52C3">
      <w:pPr>
        <w:pStyle w:val="ListParagraph"/>
        <w:numPr>
          <w:ilvl w:val="0"/>
          <w:numId w:val="1"/>
        </w:numPr>
        <w:spacing w:line="480" w:lineRule="auto"/>
        <w:rPr>
          <w:b/>
          <w:sz w:val="28"/>
          <w:szCs w:val="28"/>
        </w:rPr>
      </w:pPr>
      <w:r w:rsidRPr="009A3CC6">
        <w:rPr>
          <w:b/>
          <w:sz w:val="28"/>
          <w:szCs w:val="28"/>
        </w:rPr>
        <w:t>Summary Judgment Standard</w:t>
      </w:r>
    </w:p>
    <w:p w14:paraId="2D441254" w14:textId="63AE8527" w:rsidR="00400BD2" w:rsidRPr="009A3CC6" w:rsidRDefault="00AB52C3" w:rsidP="00CC3CA8">
      <w:pPr>
        <w:spacing w:line="480" w:lineRule="auto"/>
        <w:ind w:firstLine="720"/>
        <w:rPr>
          <w:sz w:val="28"/>
          <w:szCs w:val="28"/>
        </w:rPr>
      </w:pPr>
      <w:r w:rsidRPr="009A3CC6">
        <w:rPr>
          <w:sz w:val="28"/>
          <w:szCs w:val="28"/>
        </w:rPr>
        <w:t>Summary judgment is appropriate</w:t>
      </w:r>
      <w:r w:rsidR="00FF2E1D">
        <w:rPr>
          <w:sz w:val="28"/>
          <w:szCs w:val="28"/>
        </w:rPr>
        <w:t xml:space="preserve"> if it is</w:t>
      </w:r>
      <w:r w:rsidRPr="009A3CC6">
        <w:rPr>
          <w:sz w:val="28"/>
          <w:szCs w:val="28"/>
        </w:rPr>
        <w:t xml:space="preserve"> show</w:t>
      </w:r>
      <w:r w:rsidR="00FF2E1D">
        <w:rPr>
          <w:sz w:val="28"/>
          <w:szCs w:val="28"/>
        </w:rPr>
        <w:t>n</w:t>
      </w:r>
      <w:r w:rsidRPr="009A3CC6">
        <w:rPr>
          <w:sz w:val="28"/>
          <w:szCs w:val="28"/>
        </w:rPr>
        <w:t xml:space="preserve"> that there is no genuine issue of material fact and that either party is entitled to</w:t>
      </w:r>
      <w:r w:rsidR="00FF2E1D">
        <w:rPr>
          <w:sz w:val="28"/>
          <w:szCs w:val="28"/>
        </w:rPr>
        <w:t xml:space="preserve"> a judgment as a matter of law.</w:t>
      </w:r>
      <w:r w:rsidRPr="009A3CC6">
        <w:rPr>
          <w:sz w:val="28"/>
          <w:szCs w:val="28"/>
        </w:rPr>
        <w:t xml:space="preserve"> </w:t>
      </w:r>
      <w:proofErr w:type="spellStart"/>
      <w:proofErr w:type="gramStart"/>
      <w:r w:rsidRPr="009A3CC6">
        <w:rPr>
          <w:i/>
          <w:sz w:val="28"/>
          <w:szCs w:val="28"/>
        </w:rPr>
        <w:t>Bjerke</w:t>
      </w:r>
      <w:proofErr w:type="spellEnd"/>
      <w:r w:rsidRPr="009A3CC6">
        <w:rPr>
          <w:i/>
          <w:sz w:val="28"/>
          <w:szCs w:val="28"/>
        </w:rPr>
        <w:t xml:space="preserve"> v. Johnson, </w:t>
      </w:r>
      <w:r w:rsidR="00070D96">
        <w:rPr>
          <w:sz w:val="28"/>
          <w:szCs w:val="28"/>
        </w:rPr>
        <w:t>7</w:t>
      </w:r>
      <w:r w:rsidR="00FF2E1D">
        <w:rPr>
          <w:sz w:val="28"/>
          <w:szCs w:val="28"/>
        </w:rPr>
        <w:t xml:space="preserve">42 </w:t>
      </w:r>
      <w:r w:rsidRPr="009A3CC6">
        <w:rPr>
          <w:sz w:val="28"/>
          <w:szCs w:val="28"/>
        </w:rPr>
        <w:t xml:space="preserve">N.W.2d </w:t>
      </w:r>
      <w:r w:rsidR="00FF2E1D">
        <w:rPr>
          <w:sz w:val="28"/>
          <w:szCs w:val="28"/>
        </w:rPr>
        <w:t>660</w:t>
      </w:r>
      <w:r w:rsidR="00927379">
        <w:rPr>
          <w:sz w:val="28"/>
          <w:szCs w:val="28"/>
        </w:rPr>
        <w:t xml:space="preserve"> (</w:t>
      </w:r>
      <w:r w:rsidR="005F7BEA">
        <w:rPr>
          <w:sz w:val="28"/>
          <w:szCs w:val="28"/>
        </w:rPr>
        <w:t>Minn. Ct. App. 2007)</w:t>
      </w:r>
      <w:r w:rsidRPr="009A3CC6">
        <w:rPr>
          <w:sz w:val="28"/>
          <w:szCs w:val="28"/>
        </w:rPr>
        <w:t>.</w:t>
      </w:r>
      <w:proofErr w:type="gramEnd"/>
      <w:r w:rsidR="005F7BEA">
        <w:rPr>
          <w:sz w:val="28"/>
          <w:szCs w:val="28"/>
        </w:rPr>
        <w:t xml:space="preserve"> </w:t>
      </w:r>
      <w:r w:rsidR="00ED01D5" w:rsidRPr="009A3CC6">
        <w:rPr>
          <w:sz w:val="28"/>
          <w:szCs w:val="28"/>
        </w:rPr>
        <w:t>The defense recognizes that</w:t>
      </w:r>
      <w:r w:rsidR="00D53126">
        <w:rPr>
          <w:sz w:val="28"/>
          <w:szCs w:val="28"/>
        </w:rPr>
        <w:t xml:space="preserve"> when the court is considering a motion for summary judgment</w:t>
      </w:r>
      <w:r w:rsidR="00ED01D5" w:rsidRPr="009A3CC6">
        <w:rPr>
          <w:sz w:val="28"/>
          <w:szCs w:val="28"/>
        </w:rPr>
        <w:t xml:space="preserve"> the facts must be viewed in the light most favora</w:t>
      </w:r>
      <w:r w:rsidR="00DB1B2B">
        <w:rPr>
          <w:sz w:val="28"/>
          <w:szCs w:val="28"/>
        </w:rPr>
        <w:t>ble to the p</w:t>
      </w:r>
      <w:r w:rsidR="00ED01D5" w:rsidRPr="009A3CC6">
        <w:rPr>
          <w:sz w:val="28"/>
          <w:szCs w:val="28"/>
        </w:rPr>
        <w:t>laintiff</w:t>
      </w:r>
      <w:r w:rsidR="00210441" w:rsidRPr="009A3CC6">
        <w:rPr>
          <w:sz w:val="28"/>
          <w:szCs w:val="28"/>
        </w:rPr>
        <w:t xml:space="preserve"> and that the moving party is responsible for setting forth facts that demonstrate there is no genuine issue of material fact and </w:t>
      </w:r>
      <w:r w:rsidR="00697768" w:rsidRPr="009A3CC6">
        <w:rPr>
          <w:sz w:val="28"/>
          <w:szCs w:val="28"/>
        </w:rPr>
        <w:t xml:space="preserve">a </w:t>
      </w:r>
      <w:r w:rsidR="00210441" w:rsidRPr="009A3CC6">
        <w:rPr>
          <w:sz w:val="28"/>
          <w:szCs w:val="28"/>
        </w:rPr>
        <w:t xml:space="preserve">lack of evidence </w:t>
      </w:r>
      <w:r w:rsidR="00D53126">
        <w:rPr>
          <w:sz w:val="28"/>
          <w:szCs w:val="28"/>
        </w:rPr>
        <w:t>to prove</w:t>
      </w:r>
      <w:r w:rsidR="0066258B">
        <w:rPr>
          <w:sz w:val="28"/>
          <w:szCs w:val="28"/>
        </w:rPr>
        <w:t xml:space="preserve"> p</w:t>
      </w:r>
      <w:r w:rsidR="00210441" w:rsidRPr="009A3CC6">
        <w:rPr>
          <w:sz w:val="28"/>
          <w:szCs w:val="28"/>
        </w:rPr>
        <w:t xml:space="preserve">laintiff’s case. </w:t>
      </w:r>
      <w:r w:rsidR="00210441" w:rsidRPr="0049382B">
        <w:rPr>
          <w:i/>
          <w:sz w:val="28"/>
          <w:szCs w:val="28"/>
        </w:rPr>
        <w:t>Rivera v. DHL Solutions (</w:t>
      </w:r>
      <w:r w:rsidR="00210441" w:rsidRPr="009A3CC6">
        <w:rPr>
          <w:sz w:val="28"/>
          <w:szCs w:val="28"/>
        </w:rPr>
        <w:t>USA), 2009 U.S. Dist. LEXIS 57977 (D.P.R. July 8, 2009)</w:t>
      </w:r>
      <w:r w:rsidR="009A3CC6" w:rsidRPr="009A3CC6">
        <w:rPr>
          <w:sz w:val="28"/>
          <w:szCs w:val="28"/>
        </w:rPr>
        <w:t xml:space="preserve">, </w:t>
      </w:r>
      <w:r w:rsidR="009A3CC6" w:rsidRPr="0049382B">
        <w:rPr>
          <w:i/>
          <w:sz w:val="28"/>
          <w:szCs w:val="28"/>
        </w:rPr>
        <w:t xml:space="preserve">Silberstein v. </w:t>
      </w:r>
      <w:proofErr w:type="spellStart"/>
      <w:r w:rsidR="009A3CC6" w:rsidRPr="0049382B">
        <w:rPr>
          <w:i/>
          <w:sz w:val="28"/>
          <w:szCs w:val="28"/>
        </w:rPr>
        <w:t>Cordie</w:t>
      </w:r>
      <w:proofErr w:type="spellEnd"/>
      <w:r w:rsidR="004E000F">
        <w:rPr>
          <w:sz w:val="28"/>
          <w:szCs w:val="28"/>
        </w:rPr>
        <w:t>, 474 N.W.2d 850</w:t>
      </w:r>
      <w:r w:rsidR="00A92A29">
        <w:rPr>
          <w:sz w:val="28"/>
          <w:szCs w:val="28"/>
        </w:rPr>
        <w:t xml:space="preserve"> (Minn. Ct. App. 1991)</w:t>
      </w:r>
      <w:r w:rsidR="004E000F">
        <w:rPr>
          <w:sz w:val="28"/>
          <w:szCs w:val="28"/>
        </w:rPr>
        <w:t xml:space="preserve">, </w:t>
      </w:r>
      <w:r w:rsidR="00D82157" w:rsidRPr="009A3CC6">
        <w:rPr>
          <w:sz w:val="28"/>
          <w:szCs w:val="28"/>
        </w:rPr>
        <w:t xml:space="preserve">and </w:t>
      </w:r>
      <w:r w:rsidR="00D82157" w:rsidRPr="0049382B">
        <w:rPr>
          <w:i/>
          <w:sz w:val="28"/>
          <w:szCs w:val="28"/>
        </w:rPr>
        <w:t xml:space="preserve">Delgado v. </w:t>
      </w:r>
      <w:proofErr w:type="spellStart"/>
      <w:r w:rsidR="00D82157" w:rsidRPr="0049382B">
        <w:rPr>
          <w:i/>
          <w:sz w:val="28"/>
          <w:szCs w:val="28"/>
        </w:rPr>
        <w:t>Lohmar</w:t>
      </w:r>
      <w:proofErr w:type="spellEnd"/>
      <w:r w:rsidR="00D82157" w:rsidRPr="009A3CC6">
        <w:rPr>
          <w:sz w:val="28"/>
          <w:szCs w:val="28"/>
        </w:rPr>
        <w:t xml:space="preserve">, 289 N.W.2d 479 (Minn. 1979). </w:t>
      </w:r>
    </w:p>
    <w:p w14:paraId="70758C1A" w14:textId="77777777" w:rsidR="00AB52C3" w:rsidRPr="009A3CC6" w:rsidRDefault="00AB52C3" w:rsidP="00AB52C3">
      <w:pPr>
        <w:pStyle w:val="ListParagraph"/>
        <w:numPr>
          <w:ilvl w:val="0"/>
          <w:numId w:val="1"/>
        </w:numPr>
        <w:spacing w:line="480" w:lineRule="auto"/>
        <w:rPr>
          <w:b/>
          <w:sz w:val="28"/>
          <w:szCs w:val="28"/>
        </w:rPr>
      </w:pPr>
      <w:r w:rsidRPr="009A3CC6">
        <w:rPr>
          <w:b/>
          <w:sz w:val="28"/>
          <w:szCs w:val="28"/>
        </w:rPr>
        <w:t xml:space="preserve">Paul Wager was not negligent in failing to warn Miles of Atticus’s threat of harm because he had no duty to do so. </w:t>
      </w:r>
    </w:p>
    <w:p w14:paraId="688CC2EB" w14:textId="6D0A2CE1" w:rsidR="00AB52C3" w:rsidRDefault="00AB52C3" w:rsidP="00AB52C3">
      <w:pPr>
        <w:spacing w:line="480" w:lineRule="auto"/>
        <w:ind w:firstLine="720"/>
        <w:rPr>
          <w:sz w:val="28"/>
          <w:szCs w:val="28"/>
        </w:rPr>
      </w:pPr>
      <w:r w:rsidRPr="009A3CC6">
        <w:rPr>
          <w:sz w:val="28"/>
          <w:szCs w:val="28"/>
        </w:rPr>
        <w:t xml:space="preserve">In a negligence action, a defendant is entitled to summary judgment when the record reflects a complete lack of proof on any of the four essential elements of the claim: (1) the existence of a duty of care; (2) a breach of that duty; (3) an injury; and (4) the breach of the duty being the proximate cause of the injury. </w:t>
      </w:r>
      <w:proofErr w:type="spellStart"/>
      <w:proofErr w:type="gramStart"/>
      <w:r w:rsidRPr="009A3CC6">
        <w:rPr>
          <w:i/>
          <w:sz w:val="28"/>
          <w:szCs w:val="28"/>
        </w:rPr>
        <w:t>Gradjelick</w:t>
      </w:r>
      <w:proofErr w:type="spellEnd"/>
      <w:r w:rsidRPr="009A3CC6">
        <w:rPr>
          <w:i/>
          <w:sz w:val="28"/>
          <w:szCs w:val="28"/>
        </w:rPr>
        <w:t xml:space="preserve"> v. </w:t>
      </w:r>
      <w:proofErr w:type="spellStart"/>
      <w:r w:rsidRPr="009A3CC6">
        <w:rPr>
          <w:i/>
          <w:sz w:val="28"/>
          <w:szCs w:val="28"/>
        </w:rPr>
        <w:t>Hance</w:t>
      </w:r>
      <w:proofErr w:type="spellEnd"/>
      <w:r w:rsidRPr="009A3CC6">
        <w:rPr>
          <w:i/>
          <w:sz w:val="28"/>
          <w:szCs w:val="28"/>
        </w:rPr>
        <w:t xml:space="preserve">, </w:t>
      </w:r>
      <w:r w:rsidRPr="009A3CC6">
        <w:rPr>
          <w:sz w:val="28"/>
          <w:szCs w:val="28"/>
        </w:rPr>
        <w:t xml:space="preserve">646 N.W.2d 225 </w:t>
      </w:r>
      <w:r w:rsidR="007D5AAA">
        <w:rPr>
          <w:sz w:val="28"/>
          <w:szCs w:val="28"/>
        </w:rPr>
        <w:t>at 231</w:t>
      </w:r>
      <w:r w:rsidR="004F2418">
        <w:rPr>
          <w:sz w:val="28"/>
          <w:szCs w:val="28"/>
        </w:rPr>
        <w:t xml:space="preserve"> </w:t>
      </w:r>
      <w:r w:rsidRPr="009A3CC6">
        <w:rPr>
          <w:sz w:val="28"/>
          <w:szCs w:val="28"/>
        </w:rPr>
        <w:t>(Minn. 2002).</w:t>
      </w:r>
      <w:proofErr w:type="gramEnd"/>
      <w:r w:rsidRPr="009A3CC6">
        <w:rPr>
          <w:sz w:val="28"/>
          <w:szCs w:val="28"/>
        </w:rPr>
        <w:t xml:space="preserve"> In this case, the Plaintiff lacks proof to establish the existence of a duty of care, which will be discussed further below. Because the duty of care does not exist, Plaintiff is unable to show a breach of that duty. </w:t>
      </w:r>
    </w:p>
    <w:p w14:paraId="64979D67" w14:textId="7E53D0F1" w:rsidR="00F25FF9" w:rsidRPr="009A3CC6" w:rsidRDefault="0049382B" w:rsidP="00F60866">
      <w:pPr>
        <w:spacing w:line="480" w:lineRule="auto"/>
        <w:ind w:firstLine="720"/>
        <w:rPr>
          <w:sz w:val="28"/>
          <w:szCs w:val="28"/>
        </w:rPr>
      </w:pPr>
      <w:r>
        <w:rPr>
          <w:sz w:val="28"/>
          <w:szCs w:val="28"/>
        </w:rPr>
        <w:t xml:space="preserve">Generally, there is no duty to warn a person endangered by the conduct of another. </w:t>
      </w:r>
      <w:proofErr w:type="spellStart"/>
      <w:r>
        <w:rPr>
          <w:i/>
          <w:sz w:val="28"/>
          <w:szCs w:val="28"/>
        </w:rPr>
        <w:t>Cairl</w:t>
      </w:r>
      <w:proofErr w:type="spellEnd"/>
      <w:r>
        <w:rPr>
          <w:i/>
          <w:sz w:val="28"/>
          <w:szCs w:val="28"/>
        </w:rPr>
        <w:t xml:space="preserve"> v. </w:t>
      </w:r>
      <w:r w:rsidR="00D13635">
        <w:rPr>
          <w:i/>
          <w:sz w:val="28"/>
          <w:szCs w:val="28"/>
        </w:rPr>
        <w:t xml:space="preserve">State, </w:t>
      </w:r>
      <w:r w:rsidR="00DE426A">
        <w:rPr>
          <w:sz w:val="28"/>
          <w:szCs w:val="28"/>
        </w:rPr>
        <w:t>323</w:t>
      </w:r>
      <w:r w:rsidR="00A92A29">
        <w:rPr>
          <w:sz w:val="28"/>
          <w:szCs w:val="28"/>
        </w:rPr>
        <w:t xml:space="preserve"> N.W.</w:t>
      </w:r>
      <w:r w:rsidR="00D13635">
        <w:rPr>
          <w:sz w:val="28"/>
          <w:szCs w:val="28"/>
        </w:rPr>
        <w:t>2d</w:t>
      </w:r>
      <w:r w:rsidR="00A92A29">
        <w:rPr>
          <w:sz w:val="28"/>
          <w:szCs w:val="28"/>
        </w:rPr>
        <w:t xml:space="preserve"> 20</w:t>
      </w:r>
      <w:r w:rsidR="00D13635">
        <w:rPr>
          <w:sz w:val="28"/>
          <w:szCs w:val="28"/>
        </w:rPr>
        <w:t xml:space="preserve"> (Minn. 1982)</w:t>
      </w:r>
      <w:r w:rsidR="00584851">
        <w:rPr>
          <w:sz w:val="28"/>
          <w:szCs w:val="28"/>
        </w:rPr>
        <w:t xml:space="preserve"> (citing the Restatement (Second) of Torts §314 (1965)</w:t>
      </w:r>
      <w:r w:rsidR="00D13635">
        <w:rPr>
          <w:sz w:val="28"/>
          <w:szCs w:val="28"/>
        </w:rPr>
        <w:t xml:space="preserve">. An exception to this rule has been created in cases </w:t>
      </w:r>
      <w:r w:rsidR="00F60866">
        <w:rPr>
          <w:sz w:val="28"/>
          <w:szCs w:val="28"/>
        </w:rPr>
        <w:t>of a special relationship</w:t>
      </w:r>
      <w:r w:rsidR="00D13635">
        <w:rPr>
          <w:sz w:val="28"/>
          <w:szCs w:val="28"/>
        </w:rPr>
        <w:t xml:space="preserve">. </w:t>
      </w:r>
      <w:r w:rsidR="00D13635">
        <w:rPr>
          <w:i/>
          <w:sz w:val="28"/>
          <w:szCs w:val="28"/>
        </w:rPr>
        <w:t xml:space="preserve">Id. </w:t>
      </w:r>
      <w:r w:rsidR="00F25FF9" w:rsidRPr="009A3CC6">
        <w:rPr>
          <w:sz w:val="28"/>
          <w:szCs w:val="28"/>
        </w:rPr>
        <w:t xml:space="preserve">One owes no duty to warn those endangered by the conduct of another except when they are in a special relationship to the person whose conduct needs to be controlled even if the conduct is foreseeable; there must be a special relationship </w:t>
      </w:r>
      <w:r w:rsidR="00F25FF9" w:rsidRPr="009A3CC6">
        <w:rPr>
          <w:i/>
          <w:sz w:val="28"/>
          <w:szCs w:val="28"/>
        </w:rPr>
        <w:t>and</w:t>
      </w:r>
      <w:r w:rsidR="00F25FF9" w:rsidRPr="009A3CC6">
        <w:rPr>
          <w:sz w:val="28"/>
          <w:szCs w:val="28"/>
        </w:rPr>
        <w:t xml:space="preserve"> the injury must be foreseeable. </w:t>
      </w:r>
      <w:proofErr w:type="spellStart"/>
      <w:proofErr w:type="gramStart"/>
      <w:r w:rsidR="00F25FF9" w:rsidRPr="009A3CC6">
        <w:rPr>
          <w:i/>
          <w:sz w:val="28"/>
          <w:szCs w:val="28"/>
        </w:rPr>
        <w:t>Patzawald</w:t>
      </w:r>
      <w:proofErr w:type="spellEnd"/>
      <w:r w:rsidR="00F25FF9" w:rsidRPr="009A3CC6">
        <w:rPr>
          <w:i/>
          <w:sz w:val="28"/>
          <w:szCs w:val="28"/>
        </w:rPr>
        <w:t xml:space="preserve"> v. </w:t>
      </w:r>
      <w:proofErr w:type="spellStart"/>
      <w:r w:rsidR="00F25FF9" w:rsidRPr="009A3CC6">
        <w:rPr>
          <w:i/>
          <w:sz w:val="28"/>
          <w:szCs w:val="28"/>
        </w:rPr>
        <w:t>Krey</w:t>
      </w:r>
      <w:proofErr w:type="spellEnd"/>
      <w:r w:rsidR="00F25FF9" w:rsidRPr="009A3CC6">
        <w:rPr>
          <w:i/>
          <w:sz w:val="28"/>
          <w:szCs w:val="28"/>
        </w:rPr>
        <w:t>,</w:t>
      </w:r>
      <w:r w:rsidR="00F25FF9" w:rsidRPr="009A3CC6">
        <w:rPr>
          <w:sz w:val="28"/>
          <w:szCs w:val="28"/>
        </w:rPr>
        <w:t xml:space="preserve"> 390 N.W.2d 920 (Minn. Ct. App. 1986), </w:t>
      </w:r>
      <w:proofErr w:type="spellStart"/>
      <w:r w:rsidR="00D612CC" w:rsidRPr="00D612CC">
        <w:rPr>
          <w:i/>
          <w:sz w:val="28"/>
          <w:szCs w:val="28"/>
        </w:rPr>
        <w:t>Scherff</w:t>
      </w:r>
      <w:proofErr w:type="spellEnd"/>
      <w:r w:rsidR="00D612CC" w:rsidRPr="00D612CC">
        <w:rPr>
          <w:i/>
          <w:sz w:val="28"/>
          <w:szCs w:val="28"/>
        </w:rPr>
        <w:t xml:space="preserve"> v. </w:t>
      </w:r>
      <w:proofErr w:type="spellStart"/>
      <w:r w:rsidR="00D612CC" w:rsidRPr="00D612CC">
        <w:rPr>
          <w:i/>
          <w:sz w:val="28"/>
          <w:szCs w:val="28"/>
        </w:rPr>
        <w:t>Kraimer</w:t>
      </w:r>
      <w:proofErr w:type="spellEnd"/>
      <w:r w:rsidR="00D612CC" w:rsidRPr="00D612CC">
        <w:rPr>
          <w:i/>
          <w:sz w:val="28"/>
          <w:szCs w:val="28"/>
        </w:rPr>
        <w:t>,</w:t>
      </w:r>
      <w:r w:rsidR="00D612CC" w:rsidRPr="00D612CC">
        <w:rPr>
          <w:sz w:val="28"/>
          <w:szCs w:val="28"/>
        </w:rPr>
        <w:t xml:space="preserve"> 1998 Minn. App. LEXIS 701 (Minn. Ct. App. June 16, 1998)</w:t>
      </w:r>
      <w:r w:rsidR="00CD6892" w:rsidRPr="00D612CC">
        <w:rPr>
          <w:sz w:val="28"/>
          <w:szCs w:val="28"/>
        </w:rPr>
        <w:t>.</w:t>
      </w:r>
      <w:proofErr w:type="gramEnd"/>
      <w:r w:rsidR="00CD6892">
        <w:rPr>
          <w:sz w:val="28"/>
          <w:szCs w:val="28"/>
        </w:rPr>
        <w:t xml:space="preserve"> </w:t>
      </w:r>
      <w:r w:rsidR="00F25FF9" w:rsidRPr="009A3CC6">
        <w:rPr>
          <w:sz w:val="28"/>
          <w:szCs w:val="28"/>
        </w:rPr>
        <w:t xml:space="preserve">The fact that the actor realizes or should realize that action on his part is necessary for another's aid or protection does not of itself impose upon him a duty to take such action. </w:t>
      </w:r>
      <w:proofErr w:type="gramStart"/>
      <w:r w:rsidR="00F25FF9" w:rsidRPr="009A3CC6">
        <w:rPr>
          <w:sz w:val="28"/>
          <w:szCs w:val="28"/>
        </w:rPr>
        <w:t>Restatement (Second) of Torts §314</w:t>
      </w:r>
      <w:r w:rsidR="00CD6892">
        <w:rPr>
          <w:sz w:val="28"/>
          <w:szCs w:val="28"/>
        </w:rPr>
        <w:t>A</w:t>
      </w:r>
      <w:r w:rsidR="00F25FF9" w:rsidRPr="009A3CC6">
        <w:rPr>
          <w:sz w:val="28"/>
          <w:szCs w:val="28"/>
        </w:rPr>
        <w:t xml:space="preserve"> (1965)</w:t>
      </w:r>
      <w:r w:rsidR="00833297">
        <w:rPr>
          <w:sz w:val="28"/>
          <w:szCs w:val="28"/>
        </w:rPr>
        <w:t>,</w:t>
      </w:r>
      <w:r w:rsidR="00CD6892">
        <w:rPr>
          <w:sz w:val="28"/>
          <w:szCs w:val="28"/>
        </w:rPr>
        <w:t xml:space="preserve"> </w:t>
      </w:r>
      <w:r w:rsidR="001756D1">
        <w:rPr>
          <w:i/>
          <w:sz w:val="28"/>
          <w:szCs w:val="28"/>
        </w:rPr>
        <w:t>Delgado</w:t>
      </w:r>
      <w:r w:rsidR="00D91059">
        <w:rPr>
          <w:i/>
          <w:sz w:val="28"/>
          <w:szCs w:val="28"/>
        </w:rPr>
        <w:t xml:space="preserve"> v. </w:t>
      </w:r>
      <w:proofErr w:type="spellStart"/>
      <w:r w:rsidR="00D91059">
        <w:rPr>
          <w:i/>
          <w:sz w:val="28"/>
          <w:szCs w:val="28"/>
        </w:rPr>
        <w:t>Lohmar</w:t>
      </w:r>
      <w:proofErr w:type="spellEnd"/>
      <w:r w:rsidR="001756D1">
        <w:rPr>
          <w:i/>
          <w:sz w:val="28"/>
          <w:szCs w:val="28"/>
        </w:rPr>
        <w:t>,</w:t>
      </w:r>
      <w:r w:rsidR="00833297">
        <w:rPr>
          <w:i/>
          <w:sz w:val="28"/>
          <w:szCs w:val="28"/>
        </w:rPr>
        <w:t xml:space="preserve"> </w:t>
      </w:r>
      <w:r w:rsidR="001756D1">
        <w:rPr>
          <w:sz w:val="28"/>
          <w:szCs w:val="28"/>
        </w:rPr>
        <w:t>289 N.W.2d</w:t>
      </w:r>
      <w:r w:rsidR="00F25FF9" w:rsidRPr="009A3CC6">
        <w:rPr>
          <w:sz w:val="28"/>
          <w:szCs w:val="28"/>
        </w:rPr>
        <w:t>.</w:t>
      </w:r>
      <w:proofErr w:type="gramEnd"/>
      <w:r w:rsidR="00F25FF9" w:rsidRPr="009A3CC6">
        <w:rPr>
          <w:sz w:val="28"/>
          <w:szCs w:val="28"/>
        </w:rPr>
        <w:t xml:space="preserve"> </w:t>
      </w:r>
    </w:p>
    <w:p w14:paraId="7B1EACC6" w14:textId="77777777" w:rsidR="00AB52C3" w:rsidRPr="009A3CC6" w:rsidRDefault="00AB52C3" w:rsidP="00AB52C3">
      <w:pPr>
        <w:spacing w:line="480" w:lineRule="auto"/>
        <w:ind w:firstLine="720"/>
        <w:rPr>
          <w:sz w:val="28"/>
          <w:szCs w:val="28"/>
        </w:rPr>
      </w:pPr>
    </w:p>
    <w:p w14:paraId="62D72E59" w14:textId="77777777" w:rsidR="00AB52C3" w:rsidRPr="009A3CC6" w:rsidRDefault="00AB52C3" w:rsidP="00AB52C3">
      <w:pPr>
        <w:pStyle w:val="ListParagraph"/>
        <w:numPr>
          <w:ilvl w:val="1"/>
          <w:numId w:val="1"/>
        </w:numPr>
        <w:spacing w:line="480" w:lineRule="auto"/>
        <w:rPr>
          <w:b/>
          <w:sz w:val="28"/>
          <w:szCs w:val="28"/>
        </w:rPr>
      </w:pPr>
      <w:r w:rsidRPr="009A3CC6">
        <w:rPr>
          <w:b/>
          <w:sz w:val="28"/>
          <w:szCs w:val="28"/>
        </w:rPr>
        <w:t xml:space="preserve">There was no special relationship between Wager and Atticus because Wager is not Atticus’s biological father and he does not admit to assuming caretaking responsibilities of Atticus during Mary Atticus’s absence. </w:t>
      </w:r>
    </w:p>
    <w:p w14:paraId="741A0770" w14:textId="32F584B7" w:rsidR="00AB52C3" w:rsidRDefault="00AB52C3" w:rsidP="00AB52C3">
      <w:pPr>
        <w:spacing w:line="480" w:lineRule="auto"/>
        <w:ind w:firstLine="720"/>
        <w:rPr>
          <w:sz w:val="28"/>
          <w:szCs w:val="28"/>
        </w:rPr>
      </w:pPr>
      <w:r w:rsidRPr="009A3CC6">
        <w:rPr>
          <w:sz w:val="28"/>
          <w:szCs w:val="28"/>
        </w:rPr>
        <w:t>A defendant is entitled to summary judgment as a matter of law when the record reflects a complete lack of proof on an essential element of the</w:t>
      </w:r>
      <w:r w:rsidR="00A9361E" w:rsidRPr="009A3CC6">
        <w:rPr>
          <w:sz w:val="28"/>
          <w:szCs w:val="28"/>
        </w:rPr>
        <w:t xml:space="preserve"> </w:t>
      </w:r>
      <w:r w:rsidR="0066258B">
        <w:rPr>
          <w:sz w:val="28"/>
          <w:szCs w:val="28"/>
        </w:rPr>
        <w:t>p</w:t>
      </w:r>
      <w:r w:rsidRPr="009A3CC6">
        <w:rPr>
          <w:sz w:val="28"/>
          <w:szCs w:val="28"/>
        </w:rPr>
        <w:t xml:space="preserve">laintiff’s claim. Here, an essential element to a negligence claim would be the special relationship between Wager and Atticus. Without this relationship, there is no cause of action for negligence for failure to warn of a </w:t>
      </w:r>
      <w:r w:rsidR="00DB1B2B">
        <w:rPr>
          <w:sz w:val="28"/>
          <w:szCs w:val="28"/>
        </w:rPr>
        <w:t>specific threat of harm. Since P</w:t>
      </w:r>
      <w:r w:rsidRPr="009A3CC6">
        <w:rPr>
          <w:sz w:val="28"/>
          <w:szCs w:val="28"/>
        </w:rPr>
        <w:t xml:space="preserve">laintiff cannot establish with certainty that there is indeed a special relationship between Wager and Atticus, Wager is entitled to summary judgment as a matter of law as there can be no breach of a duty that is not proven to exist. </w:t>
      </w:r>
      <w:proofErr w:type="gramStart"/>
      <w:r w:rsidRPr="009A3CC6">
        <w:rPr>
          <w:sz w:val="28"/>
          <w:szCs w:val="28"/>
        </w:rPr>
        <w:t>Minnesota Statutes Annotated Rules of Civil Procedure for the District Courts Rule 56 (</w:t>
      </w:r>
      <w:proofErr w:type="spellStart"/>
      <w:r w:rsidRPr="009A3CC6">
        <w:rPr>
          <w:sz w:val="28"/>
          <w:szCs w:val="28"/>
        </w:rPr>
        <w:t>WestLaw</w:t>
      </w:r>
      <w:proofErr w:type="spellEnd"/>
      <w:r w:rsidRPr="009A3CC6">
        <w:rPr>
          <w:sz w:val="28"/>
          <w:szCs w:val="28"/>
        </w:rPr>
        <w:t>).</w:t>
      </w:r>
      <w:proofErr w:type="gramEnd"/>
      <w:r w:rsidRPr="009A3CC6">
        <w:rPr>
          <w:sz w:val="28"/>
          <w:szCs w:val="28"/>
        </w:rPr>
        <w:t xml:space="preserve"> </w:t>
      </w:r>
    </w:p>
    <w:p w14:paraId="259C3E3D" w14:textId="71641DB6" w:rsidR="00AB52C3" w:rsidRPr="009A3CC6" w:rsidRDefault="000D5F4C" w:rsidP="00AB52C3">
      <w:pPr>
        <w:spacing w:line="480" w:lineRule="auto"/>
        <w:ind w:firstLine="720"/>
        <w:rPr>
          <w:sz w:val="28"/>
          <w:szCs w:val="28"/>
        </w:rPr>
      </w:pPr>
      <w:r>
        <w:rPr>
          <w:sz w:val="28"/>
          <w:szCs w:val="28"/>
        </w:rPr>
        <w:t xml:space="preserve">A special relationship may exist between the actor and the other which impose upon the actor the duty to take affirmative precautions for the aid or protection. </w:t>
      </w:r>
      <w:proofErr w:type="gramStart"/>
      <w:r>
        <w:rPr>
          <w:sz w:val="28"/>
          <w:szCs w:val="28"/>
        </w:rPr>
        <w:t xml:space="preserve">Restatement (Second) of Torts </w:t>
      </w:r>
      <w:r w:rsidR="007064F2">
        <w:rPr>
          <w:sz w:val="28"/>
          <w:szCs w:val="28"/>
        </w:rPr>
        <w:t>§</w:t>
      </w:r>
      <w:r>
        <w:rPr>
          <w:sz w:val="28"/>
          <w:szCs w:val="28"/>
        </w:rPr>
        <w:t>314A (1965).</w:t>
      </w:r>
      <w:proofErr w:type="gramEnd"/>
      <w:r>
        <w:rPr>
          <w:sz w:val="28"/>
          <w:szCs w:val="28"/>
        </w:rPr>
        <w:t xml:space="preserve"> </w:t>
      </w:r>
      <w:r w:rsidR="00013B3C">
        <w:rPr>
          <w:sz w:val="28"/>
          <w:szCs w:val="28"/>
        </w:rPr>
        <w:t>A duty to protect arises</w:t>
      </w:r>
      <w:r>
        <w:rPr>
          <w:sz w:val="28"/>
          <w:szCs w:val="28"/>
        </w:rPr>
        <w:t xml:space="preserve"> when one who is required by law to take or who voluntarily takes the custody of another under circumstances such as to deprive the other of his normal opportunities for protection is under a similar duty to the other. </w:t>
      </w:r>
      <w:r>
        <w:rPr>
          <w:i/>
          <w:sz w:val="28"/>
          <w:szCs w:val="28"/>
        </w:rPr>
        <w:t>Id.</w:t>
      </w:r>
      <w:r>
        <w:rPr>
          <w:sz w:val="28"/>
          <w:szCs w:val="28"/>
        </w:rPr>
        <w:t xml:space="preserve"> </w:t>
      </w:r>
      <w:r w:rsidR="00AB52C3" w:rsidRPr="009A3CC6">
        <w:rPr>
          <w:sz w:val="28"/>
          <w:szCs w:val="28"/>
        </w:rPr>
        <w:t xml:space="preserve">In </w:t>
      </w:r>
      <w:proofErr w:type="spellStart"/>
      <w:r w:rsidR="00AB52C3" w:rsidRPr="009A3CC6">
        <w:rPr>
          <w:i/>
          <w:sz w:val="28"/>
          <w:szCs w:val="28"/>
        </w:rPr>
        <w:t>Domagala</w:t>
      </w:r>
      <w:proofErr w:type="spellEnd"/>
      <w:r w:rsidR="00AB52C3" w:rsidRPr="009A3CC6">
        <w:rPr>
          <w:i/>
          <w:sz w:val="28"/>
          <w:szCs w:val="28"/>
        </w:rPr>
        <w:t xml:space="preserve"> v. Rolland </w:t>
      </w:r>
      <w:r w:rsidR="00AB52C3" w:rsidRPr="009A3CC6">
        <w:rPr>
          <w:sz w:val="28"/>
          <w:szCs w:val="28"/>
        </w:rPr>
        <w:t>the court held that an a</w:t>
      </w:r>
      <w:r w:rsidR="00DB1B2B">
        <w:rPr>
          <w:sz w:val="28"/>
          <w:szCs w:val="28"/>
        </w:rPr>
        <w:t>ffirmative duty to act to warn p</w:t>
      </w:r>
      <w:r w:rsidR="00AB52C3" w:rsidRPr="009A3CC6">
        <w:rPr>
          <w:sz w:val="28"/>
          <w:szCs w:val="28"/>
        </w:rPr>
        <w:t>laintiffs of harm created by someone other than the defendant only arises when a special relationship exists between the parties. 805 N.W.2d 14</w:t>
      </w:r>
      <w:r w:rsidR="00D91059">
        <w:rPr>
          <w:sz w:val="28"/>
          <w:szCs w:val="28"/>
        </w:rPr>
        <w:t xml:space="preserve"> at 20</w:t>
      </w:r>
      <w:r w:rsidR="00AB52C3" w:rsidRPr="009A3CC6">
        <w:rPr>
          <w:sz w:val="28"/>
          <w:szCs w:val="28"/>
        </w:rPr>
        <w:t xml:space="preserve"> (Minn. 2011); see also</w:t>
      </w:r>
      <w:r w:rsidR="00AB52C3" w:rsidRPr="009A3CC6">
        <w:rPr>
          <w:i/>
          <w:sz w:val="28"/>
          <w:szCs w:val="28"/>
        </w:rPr>
        <w:t xml:space="preserve"> </w:t>
      </w:r>
      <w:proofErr w:type="spellStart"/>
      <w:r w:rsidR="00AB52C3" w:rsidRPr="009A3CC6">
        <w:rPr>
          <w:i/>
          <w:sz w:val="28"/>
          <w:szCs w:val="28"/>
        </w:rPr>
        <w:t>Scherff</w:t>
      </w:r>
      <w:proofErr w:type="spellEnd"/>
      <w:r w:rsidR="00D91059">
        <w:rPr>
          <w:i/>
          <w:sz w:val="28"/>
          <w:szCs w:val="28"/>
        </w:rPr>
        <w:t xml:space="preserve"> v. Kramer,</w:t>
      </w:r>
      <w:r w:rsidR="00AB52C3" w:rsidRPr="009A3CC6">
        <w:rPr>
          <w:i/>
          <w:sz w:val="28"/>
          <w:szCs w:val="28"/>
        </w:rPr>
        <w:t xml:space="preserve"> </w:t>
      </w:r>
      <w:r w:rsidR="00D612CC" w:rsidRPr="00D612CC">
        <w:rPr>
          <w:sz w:val="28"/>
          <w:szCs w:val="28"/>
        </w:rPr>
        <w:t>1998 Minn. App. LEXIS 701</w:t>
      </w:r>
      <w:r w:rsidR="00D91059">
        <w:rPr>
          <w:sz w:val="28"/>
          <w:szCs w:val="28"/>
        </w:rPr>
        <w:t xml:space="preserve">. </w:t>
      </w:r>
      <w:r w:rsidR="00AB52C3" w:rsidRPr="009A3CC6">
        <w:rPr>
          <w:sz w:val="28"/>
          <w:szCs w:val="28"/>
        </w:rPr>
        <w:t xml:space="preserve">Wager acknowledges that he enjoyed fatherly activities with Atticus, including coaching sports teams and talking about sports, music, and girls. Wager Dep. 17. However, that is essentially the extent of Wager and Atticus’s relationship. When Mary Atticus left for Afghanistan, Wager did not think he would be caring for Atticus as Atticus was nearly 18 at the time, but instead expected to merely act as a support system encouraging Atticus’s independence. Wager Dep. 30. Wager also notes in his deposition that he had never thought of adopting Atticus. Wager Dep. 41. Marry Atticus stated in her deposition that she had a conversation with Atticus over him deciding to no longer take his prescribed antidepressant medication. Mary Atticus Dep. 197. She asked Atticus what Wager had to say about it, to which Atticus replied, “He told me to do what I want” and that “I’m old enough to take care of myself.” Mary Atticus Dep. 197. And Wager confirmed that that was what he told Atticus. Atticus Dep. 190. It is clear that Wager had no intention of acting as a parent figure to Atticus and did not take any steps to fill that role.  </w:t>
      </w:r>
    </w:p>
    <w:p w14:paraId="118188C0" w14:textId="479FEB2A" w:rsidR="00B77340" w:rsidRPr="00430099" w:rsidRDefault="00B77340" w:rsidP="00B77340">
      <w:pPr>
        <w:spacing w:line="480" w:lineRule="auto"/>
        <w:ind w:firstLine="720"/>
        <w:rPr>
          <w:rFonts w:ascii="Times" w:hAnsi="Times"/>
          <w:sz w:val="28"/>
          <w:szCs w:val="28"/>
        </w:rPr>
      </w:pPr>
      <w:r>
        <w:rPr>
          <w:rFonts w:ascii="Times" w:hAnsi="Times"/>
          <w:sz w:val="28"/>
          <w:szCs w:val="28"/>
        </w:rPr>
        <w:t xml:space="preserve">It is helpful to look to </w:t>
      </w:r>
      <w:proofErr w:type="spellStart"/>
      <w:r>
        <w:rPr>
          <w:rFonts w:ascii="Times" w:hAnsi="Times"/>
          <w:i/>
          <w:sz w:val="28"/>
          <w:szCs w:val="28"/>
        </w:rPr>
        <w:t>Domagala</w:t>
      </w:r>
      <w:proofErr w:type="spellEnd"/>
      <w:r>
        <w:rPr>
          <w:rFonts w:ascii="Times" w:hAnsi="Times"/>
          <w:i/>
          <w:sz w:val="28"/>
          <w:szCs w:val="28"/>
        </w:rPr>
        <w:t xml:space="preserve"> </w:t>
      </w:r>
      <w:r>
        <w:rPr>
          <w:rFonts w:ascii="Times" w:hAnsi="Times"/>
          <w:sz w:val="28"/>
          <w:szCs w:val="28"/>
        </w:rPr>
        <w:t>where the court determined whether a defendant could be held liable for failure to warn others of a foreseeable harm absent a special relationship between the parties. The court held, “</w:t>
      </w:r>
      <w:r w:rsidRPr="000523B2">
        <w:rPr>
          <w:rFonts w:ascii="Times" w:hAnsi="Times"/>
          <w:sz w:val="28"/>
          <w:szCs w:val="28"/>
        </w:rPr>
        <w:t>A special relationship giving rise to a duty to warn is only found on the part of common carriers, innkeepers, posses</w:t>
      </w:r>
      <w:r>
        <w:rPr>
          <w:rFonts w:ascii="Times" w:hAnsi="Times"/>
          <w:sz w:val="28"/>
          <w:szCs w:val="28"/>
        </w:rPr>
        <w:t xml:space="preserve">sors of land who hold it </w:t>
      </w:r>
      <w:r w:rsidRPr="000523B2">
        <w:rPr>
          <w:rFonts w:ascii="Times" w:hAnsi="Times"/>
          <w:sz w:val="28"/>
          <w:szCs w:val="28"/>
        </w:rPr>
        <w:t>open to the public, and persons who have custody of another person under circumstances in which that other person is deprived of normal o</w:t>
      </w:r>
      <w:r>
        <w:rPr>
          <w:rFonts w:ascii="Times" w:hAnsi="Times"/>
          <w:sz w:val="28"/>
          <w:szCs w:val="28"/>
        </w:rPr>
        <w:t xml:space="preserve">pportunities of self-protection.” </w:t>
      </w:r>
      <w:proofErr w:type="spellStart"/>
      <w:proofErr w:type="gramStart"/>
      <w:r w:rsidR="0045605F">
        <w:rPr>
          <w:rFonts w:ascii="Times" w:hAnsi="Times"/>
          <w:i/>
          <w:sz w:val="28"/>
          <w:szCs w:val="28"/>
        </w:rPr>
        <w:t>Domagala</w:t>
      </w:r>
      <w:proofErr w:type="spellEnd"/>
      <w:r w:rsidR="0045605F">
        <w:rPr>
          <w:rFonts w:ascii="Times" w:hAnsi="Times"/>
          <w:i/>
          <w:sz w:val="28"/>
          <w:szCs w:val="28"/>
        </w:rPr>
        <w:t xml:space="preserve"> v. Rolland, </w:t>
      </w:r>
      <w:r>
        <w:rPr>
          <w:rFonts w:ascii="Times" w:hAnsi="Times"/>
          <w:sz w:val="28"/>
          <w:szCs w:val="28"/>
        </w:rPr>
        <w:t>805 N.W.2d</w:t>
      </w:r>
      <w:r w:rsidR="0045605F">
        <w:rPr>
          <w:rFonts w:ascii="Times" w:hAnsi="Times"/>
          <w:sz w:val="28"/>
          <w:szCs w:val="28"/>
        </w:rPr>
        <w:t xml:space="preserve"> at 20</w:t>
      </w:r>
      <w:r>
        <w:rPr>
          <w:rFonts w:ascii="Times" w:hAnsi="Times"/>
          <w:sz w:val="28"/>
          <w:szCs w:val="28"/>
        </w:rPr>
        <w:t>.</w:t>
      </w:r>
      <w:proofErr w:type="gramEnd"/>
      <w:r>
        <w:rPr>
          <w:rFonts w:ascii="Times" w:hAnsi="Times"/>
          <w:sz w:val="28"/>
          <w:szCs w:val="28"/>
        </w:rPr>
        <w:t xml:space="preserve"> In this case there was no</w:t>
      </w:r>
      <w:r w:rsidR="0066258B">
        <w:rPr>
          <w:rFonts w:ascii="Times" w:hAnsi="Times"/>
          <w:sz w:val="28"/>
          <w:szCs w:val="28"/>
        </w:rPr>
        <w:t xml:space="preserve"> special relationship between Plaintiff and D</w:t>
      </w:r>
      <w:r>
        <w:rPr>
          <w:rFonts w:ascii="Times" w:hAnsi="Times"/>
          <w:sz w:val="28"/>
          <w:szCs w:val="28"/>
        </w:rPr>
        <w:t>efendant</w:t>
      </w:r>
      <w:r w:rsidR="0049302F">
        <w:rPr>
          <w:rFonts w:ascii="Times" w:hAnsi="Times"/>
          <w:sz w:val="28"/>
          <w:szCs w:val="28"/>
        </w:rPr>
        <w:t xml:space="preserve"> because they did not fall into any of the listed categories where special relationship is appropriate</w:t>
      </w:r>
      <w:r>
        <w:rPr>
          <w:rFonts w:ascii="Times" w:hAnsi="Times"/>
          <w:sz w:val="28"/>
          <w:szCs w:val="28"/>
        </w:rPr>
        <w:t xml:space="preserve">. Since Wager did not accept custodial duties of Atticus and does not fill any other role prescribed in </w:t>
      </w:r>
      <w:proofErr w:type="spellStart"/>
      <w:r>
        <w:rPr>
          <w:rFonts w:ascii="Times" w:hAnsi="Times"/>
          <w:i/>
          <w:sz w:val="28"/>
          <w:szCs w:val="28"/>
        </w:rPr>
        <w:t>Domagala</w:t>
      </w:r>
      <w:proofErr w:type="spellEnd"/>
      <w:r>
        <w:rPr>
          <w:rFonts w:ascii="Times" w:hAnsi="Times"/>
          <w:sz w:val="28"/>
          <w:szCs w:val="28"/>
        </w:rPr>
        <w:t xml:space="preserve"> he</w:t>
      </w:r>
      <w:r w:rsidR="0049302F">
        <w:rPr>
          <w:rFonts w:ascii="Times" w:hAnsi="Times"/>
          <w:sz w:val="28"/>
          <w:szCs w:val="28"/>
        </w:rPr>
        <w:t>,</w:t>
      </w:r>
      <w:r>
        <w:rPr>
          <w:rFonts w:ascii="Times" w:hAnsi="Times"/>
          <w:sz w:val="28"/>
          <w:szCs w:val="28"/>
        </w:rPr>
        <w:t xml:space="preserve"> likewise</w:t>
      </w:r>
      <w:r w:rsidR="0049302F">
        <w:rPr>
          <w:rFonts w:ascii="Times" w:hAnsi="Times"/>
          <w:sz w:val="28"/>
          <w:szCs w:val="28"/>
        </w:rPr>
        <w:t>,</w:t>
      </w:r>
      <w:r>
        <w:rPr>
          <w:rFonts w:ascii="Times" w:hAnsi="Times"/>
          <w:sz w:val="28"/>
          <w:szCs w:val="28"/>
        </w:rPr>
        <w:t xml:space="preserve"> cannot be held in a special relationship. </w:t>
      </w:r>
      <w:r w:rsidR="00430099">
        <w:rPr>
          <w:rFonts w:ascii="Times" w:hAnsi="Times"/>
          <w:i/>
          <w:sz w:val="28"/>
          <w:szCs w:val="28"/>
        </w:rPr>
        <w:t xml:space="preserve">See id. </w:t>
      </w:r>
      <w:proofErr w:type="gramStart"/>
      <w:r w:rsidR="00430099">
        <w:rPr>
          <w:rFonts w:ascii="Times" w:hAnsi="Times"/>
          <w:sz w:val="28"/>
          <w:szCs w:val="28"/>
        </w:rPr>
        <w:t>at</w:t>
      </w:r>
      <w:proofErr w:type="gramEnd"/>
      <w:r w:rsidR="00430099">
        <w:rPr>
          <w:rFonts w:ascii="Times" w:hAnsi="Times"/>
          <w:sz w:val="28"/>
          <w:szCs w:val="28"/>
        </w:rPr>
        <w:t xml:space="preserve"> 20. </w:t>
      </w:r>
    </w:p>
    <w:p w14:paraId="760C6906" w14:textId="3C9C2298" w:rsidR="00AB52C3" w:rsidRPr="009A3CC6" w:rsidRDefault="00DB1B2B" w:rsidP="00AB52C3">
      <w:pPr>
        <w:spacing w:line="480" w:lineRule="auto"/>
        <w:ind w:firstLine="720"/>
        <w:rPr>
          <w:b/>
          <w:i/>
          <w:sz w:val="28"/>
          <w:szCs w:val="28"/>
        </w:rPr>
      </w:pPr>
      <w:r>
        <w:rPr>
          <w:sz w:val="28"/>
          <w:szCs w:val="28"/>
        </w:rPr>
        <w:t>The P</w:t>
      </w:r>
      <w:r w:rsidR="00AB52C3" w:rsidRPr="009A3CC6">
        <w:rPr>
          <w:sz w:val="28"/>
          <w:szCs w:val="28"/>
        </w:rPr>
        <w:t xml:space="preserve">laintiff may attempt to identify a special relationship based on the fact that Atticus was in a vulnerable position and dependent on Wager as a caretaker due to his age and his mother’s absence. However, courts have held that, “The responsibility for supervision of [a child] may be relinquished or obtained only upon the mutual consent…by the one legally charged with the care of the child and by the one assuming the responsibility. Such parent may not impose the responsibility of his or her minor child on a third person unless that person accepts the responsibility.” </w:t>
      </w:r>
      <w:proofErr w:type="gramStart"/>
      <w:r w:rsidR="00AB52C3" w:rsidRPr="009A3CC6">
        <w:rPr>
          <w:sz w:val="28"/>
          <w:szCs w:val="28"/>
        </w:rPr>
        <w:t xml:space="preserve">E.g. </w:t>
      </w:r>
      <w:proofErr w:type="spellStart"/>
      <w:r w:rsidR="00AB52C3" w:rsidRPr="009A3CC6">
        <w:rPr>
          <w:i/>
          <w:sz w:val="28"/>
          <w:szCs w:val="28"/>
        </w:rPr>
        <w:t>Sunnarborg</w:t>
      </w:r>
      <w:proofErr w:type="spellEnd"/>
      <w:r w:rsidR="00AB52C3" w:rsidRPr="009A3CC6">
        <w:rPr>
          <w:i/>
          <w:sz w:val="28"/>
          <w:szCs w:val="28"/>
        </w:rPr>
        <w:t xml:space="preserve"> v. Howard,</w:t>
      </w:r>
      <w:r w:rsidR="00AB52C3" w:rsidRPr="009A3CC6">
        <w:rPr>
          <w:sz w:val="28"/>
          <w:szCs w:val="28"/>
        </w:rPr>
        <w:t xml:space="preserve"> 581 N.W.2d 397</w:t>
      </w:r>
      <w:r w:rsidR="00115C1B">
        <w:rPr>
          <w:sz w:val="28"/>
          <w:szCs w:val="28"/>
        </w:rPr>
        <w:t xml:space="preserve"> </w:t>
      </w:r>
      <w:r w:rsidR="007D5AAA">
        <w:rPr>
          <w:sz w:val="28"/>
          <w:szCs w:val="28"/>
        </w:rPr>
        <w:t>at 398</w:t>
      </w:r>
      <w:r w:rsidR="00115C1B">
        <w:rPr>
          <w:sz w:val="28"/>
          <w:szCs w:val="28"/>
        </w:rPr>
        <w:t>(Minn. Ct. App. 1998)</w:t>
      </w:r>
      <w:r w:rsidR="00AB52C3" w:rsidRPr="009A3CC6">
        <w:rPr>
          <w:sz w:val="28"/>
          <w:szCs w:val="28"/>
        </w:rPr>
        <w:t>.</w:t>
      </w:r>
      <w:proofErr w:type="gramEnd"/>
      <w:r w:rsidR="00AB52C3" w:rsidRPr="009A3CC6">
        <w:rPr>
          <w:sz w:val="28"/>
          <w:szCs w:val="28"/>
        </w:rPr>
        <w:t xml:space="preserve">  As noted above, Wager did </w:t>
      </w:r>
      <w:r w:rsidR="00AB52C3" w:rsidRPr="00E816E9">
        <w:rPr>
          <w:sz w:val="28"/>
          <w:szCs w:val="28"/>
        </w:rPr>
        <w:t>not accept parental responsibility for Atticus, so there was no mutual consent over his supervision. Therefore, Wager cannot legally be charged with this type of responsibility over Atticus and, again, this prevents a special relationship from being recognized</w:t>
      </w:r>
      <w:r w:rsidR="00AB52C3" w:rsidRPr="00E816E9">
        <w:rPr>
          <w:i/>
          <w:sz w:val="28"/>
          <w:szCs w:val="28"/>
        </w:rPr>
        <w:t>.</w:t>
      </w:r>
      <w:r w:rsidR="00AB52C3" w:rsidRPr="009A3CC6">
        <w:rPr>
          <w:b/>
          <w:i/>
          <w:sz w:val="28"/>
          <w:szCs w:val="28"/>
        </w:rPr>
        <w:t xml:space="preserve"> </w:t>
      </w:r>
      <w:proofErr w:type="gramStart"/>
      <w:r w:rsidR="00E816E9" w:rsidRPr="009A3CC6">
        <w:rPr>
          <w:sz w:val="28"/>
          <w:szCs w:val="28"/>
        </w:rPr>
        <w:t>Restatement (Second) of Torts §314 (1965)</w:t>
      </w:r>
      <w:r w:rsidR="00E816E9">
        <w:rPr>
          <w:sz w:val="28"/>
          <w:szCs w:val="28"/>
        </w:rPr>
        <w:t>.</w:t>
      </w:r>
      <w:proofErr w:type="gramEnd"/>
      <w:r w:rsidR="00E816E9">
        <w:rPr>
          <w:sz w:val="28"/>
          <w:szCs w:val="28"/>
        </w:rPr>
        <w:t xml:space="preserve"> </w:t>
      </w:r>
    </w:p>
    <w:p w14:paraId="2F86E073" w14:textId="24B6010F" w:rsidR="0039047A" w:rsidRPr="009A3CC6" w:rsidRDefault="0039047A" w:rsidP="0039047A">
      <w:pPr>
        <w:spacing w:line="480" w:lineRule="auto"/>
        <w:ind w:firstLine="720"/>
        <w:rPr>
          <w:sz w:val="28"/>
          <w:szCs w:val="28"/>
        </w:rPr>
      </w:pPr>
      <w:r w:rsidRPr="009A3CC6">
        <w:rPr>
          <w:sz w:val="28"/>
          <w:szCs w:val="28"/>
        </w:rPr>
        <w:t>The line between what can be deemed a special relationship and what cannot is a particularly delicate, but important one.</w:t>
      </w:r>
      <w:r w:rsidR="00A00370">
        <w:rPr>
          <w:sz w:val="28"/>
          <w:szCs w:val="28"/>
        </w:rPr>
        <w:t xml:space="preserve"> The dissent in </w:t>
      </w:r>
      <w:proofErr w:type="spellStart"/>
      <w:r w:rsidR="00A00370">
        <w:rPr>
          <w:i/>
          <w:sz w:val="28"/>
          <w:szCs w:val="28"/>
        </w:rPr>
        <w:t>Bjerke</w:t>
      </w:r>
      <w:proofErr w:type="spellEnd"/>
      <w:r w:rsidR="00A00370">
        <w:rPr>
          <w:sz w:val="28"/>
          <w:szCs w:val="28"/>
        </w:rPr>
        <w:t xml:space="preserve">, though only persuasive, makes the point that interpreting </w:t>
      </w:r>
      <w:r w:rsidR="00791DD4">
        <w:rPr>
          <w:sz w:val="28"/>
          <w:szCs w:val="28"/>
        </w:rPr>
        <w:t>the law to indicate</w:t>
      </w:r>
      <w:r w:rsidR="00A00370">
        <w:rPr>
          <w:sz w:val="28"/>
          <w:szCs w:val="28"/>
        </w:rPr>
        <w:t>, “</w:t>
      </w:r>
      <w:r w:rsidR="00A00370">
        <w:rPr>
          <w:i/>
          <w:sz w:val="28"/>
          <w:szCs w:val="28"/>
        </w:rPr>
        <w:t>any</w:t>
      </w:r>
      <w:r w:rsidR="00A00370">
        <w:rPr>
          <w:sz w:val="28"/>
          <w:szCs w:val="28"/>
        </w:rPr>
        <w:t xml:space="preserve"> endeavor</w:t>
      </w:r>
      <w:r w:rsidRPr="009A3CC6">
        <w:rPr>
          <w:sz w:val="28"/>
          <w:szCs w:val="28"/>
        </w:rPr>
        <w:t xml:space="preserve"> </w:t>
      </w:r>
      <w:r w:rsidR="00A00370" w:rsidRPr="00A00370">
        <w:rPr>
          <w:sz w:val="28"/>
          <w:szCs w:val="28"/>
        </w:rPr>
        <w:t>to help another in the performance of its duty to protect a third person would lead directly</w:t>
      </w:r>
      <w:r w:rsidR="004A3F59">
        <w:rPr>
          <w:sz w:val="28"/>
          <w:szCs w:val="28"/>
        </w:rPr>
        <w:t xml:space="preserve"> to liability</w:t>
      </w:r>
      <w:r w:rsidR="00A00370">
        <w:rPr>
          <w:sz w:val="28"/>
          <w:szCs w:val="28"/>
        </w:rPr>
        <w:t>”</w:t>
      </w:r>
      <w:r w:rsidR="004A3F59">
        <w:rPr>
          <w:sz w:val="28"/>
          <w:szCs w:val="28"/>
        </w:rPr>
        <w:t xml:space="preserve"> would punish persons who voluntarily assist others and would discourage this kind of assistance.</w:t>
      </w:r>
      <w:r w:rsidR="00A00370">
        <w:rPr>
          <w:sz w:val="28"/>
          <w:szCs w:val="28"/>
        </w:rPr>
        <w:t xml:space="preserve"> </w:t>
      </w:r>
      <w:proofErr w:type="spellStart"/>
      <w:proofErr w:type="gramStart"/>
      <w:r w:rsidR="00A00370">
        <w:rPr>
          <w:i/>
          <w:sz w:val="28"/>
          <w:szCs w:val="28"/>
        </w:rPr>
        <w:t>Bjerke</w:t>
      </w:r>
      <w:proofErr w:type="spellEnd"/>
      <w:r w:rsidR="00A00370">
        <w:rPr>
          <w:i/>
          <w:sz w:val="28"/>
          <w:szCs w:val="28"/>
        </w:rPr>
        <w:t xml:space="preserve"> v. </w:t>
      </w:r>
      <w:r w:rsidR="00A00370" w:rsidRPr="00A00370">
        <w:rPr>
          <w:i/>
          <w:sz w:val="28"/>
          <w:szCs w:val="28"/>
        </w:rPr>
        <w:t>Johnson</w:t>
      </w:r>
      <w:r w:rsidR="00A00370">
        <w:rPr>
          <w:i/>
          <w:sz w:val="28"/>
          <w:szCs w:val="28"/>
        </w:rPr>
        <w:t xml:space="preserve">, </w:t>
      </w:r>
      <w:r w:rsidR="00A00370">
        <w:rPr>
          <w:sz w:val="28"/>
          <w:szCs w:val="28"/>
        </w:rPr>
        <w:t>742 N.W.2d 660 at 680.</w:t>
      </w:r>
      <w:proofErr w:type="gramEnd"/>
      <w:r w:rsidR="00A00370">
        <w:rPr>
          <w:sz w:val="28"/>
          <w:szCs w:val="28"/>
        </w:rPr>
        <w:t xml:space="preserve"> </w:t>
      </w:r>
      <w:r w:rsidR="007D5AC2">
        <w:rPr>
          <w:sz w:val="28"/>
          <w:szCs w:val="28"/>
        </w:rPr>
        <w:t>This is precisely w</w:t>
      </w:r>
      <w:r w:rsidR="00791DD4">
        <w:rPr>
          <w:sz w:val="28"/>
          <w:szCs w:val="28"/>
        </w:rPr>
        <w:t>hat happened when Wager voluntarily assisted</w:t>
      </w:r>
      <w:r w:rsidR="00834E29">
        <w:rPr>
          <w:sz w:val="28"/>
          <w:szCs w:val="28"/>
        </w:rPr>
        <w:t xml:space="preserve"> Mary Atticus</w:t>
      </w:r>
      <w:r w:rsidR="00791DD4">
        <w:rPr>
          <w:sz w:val="28"/>
          <w:szCs w:val="28"/>
        </w:rPr>
        <w:t xml:space="preserve"> by</w:t>
      </w:r>
      <w:r w:rsidR="00834E29">
        <w:rPr>
          <w:sz w:val="28"/>
          <w:szCs w:val="28"/>
        </w:rPr>
        <w:t xml:space="preserve"> allowing Atticus to live in his house while she </w:t>
      </w:r>
      <w:r w:rsidR="00791DD4">
        <w:rPr>
          <w:sz w:val="28"/>
          <w:szCs w:val="28"/>
        </w:rPr>
        <w:t>was</w:t>
      </w:r>
      <w:r w:rsidR="00834E29">
        <w:rPr>
          <w:sz w:val="28"/>
          <w:szCs w:val="28"/>
        </w:rPr>
        <w:t xml:space="preserve"> a</w:t>
      </w:r>
      <w:r w:rsidR="007D5AC2">
        <w:rPr>
          <w:sz w:val="28"/>
          <w:szCs w:val="28"/>
        </w:rPr>
        <w:t xml:space="preserve">way. </w:t>
      </w:r>
      <w:r w:rsidRPr="00A00370">
        <w:rPr>
          <w:sz w:val="28"/>
          <w:szCs w:val="28"/>
        </w:rPr>
        <w:t>Holdin</w:t>
      </w:r>
      <w:r w:rsidRPr="00A00370">
        <w:rPr>
          <w:i/>
          <w:sz w:val="28"/>
          <w:szCs w:val="28"/>
        </w:rPr>
        <w:t>g</w:t>
      </w:r>
      <w:r w:rsidRPr="009A3CC6">
        <w:rPr>
          <w:sz w:val="28"/>
          <w:szCs w:val="28"/>
        </w:rPr>
        <w:t xml:space="preserve"> any adult in an authoritative position over a minor or an otherwise vulnerable young adult presents a dangerous public policy precedent. If any adult who is providing care to any child may be responsible for negligence for failing to perform a duty there would be a general reluctance for anyone to ever be responsible for another person. Babysitters, family members, and people in positions like Paul Wager’s should be protected from automatic liability for the actions of the children of which they are placed in charge. Wager was simply trying to act as a friend and a support system to Atticus as Atticus struggled to find his way toward independence.</w:t>
      </w:r>
      <w:r w:rsidR="00875C33">
        <w:rPr>
          <w:sz w:val="28"/>
          <w:szCs w:val="28"/>
        </w:rPr>
        <w:t xml:space="preserve"> Wager Dep. 30.</w:t>
      </w:r>
      <w:r w:rsidR="008904EB">
        <w:rPr>
          <w:sz w:val="28"/>
          <w:szCs w:val="28"/>
        </w:rPr>
        <w:t xml:space="preserve"> Wager never had any intention of acting as or becoming Atticus’s father. Wager Dep. 41.</w:t>
      </w:r>
      <w:r w:rsidRPr="009A3CC6">
        <w:rPr>
          <w:sz w:val="28"/>
          <w:szCs w:val="28"/>
        </w:rPr>
        <w:t xml:space="preserve"> It is essential that there is a firm, established special relationship between parties in order for it to be just public policy to hold someone like Wager liable for negligence.</w:t>
      </w:r>
    </w:p>
    <w:p w14:paraId="17540A18" w14:textId="06DF90CB" w:rsidR="00CC5974" w:rsidRPr="009A3CC6" w:rsidRDefault="00CC5974" w:rsidP="00CC5974">
      <w:pPr>
        <w:spacing w:line="480" w:lineRule="auto"/>
        <w:ind w:firstLine="720"/>
        <w:rPr>
          <w:sz w:val="28"/>
          <w:szCs w:val="28"/>
        </w:rPr>
      </w:pPr>
      <w:r w:rsidRPr="009A3CC6">
        <w:rPr>
          <w:sz w:val="28"/>
          <w:szCs w:val="28"/>
        </w:rPr>
        <w:t xml:space="preserve">Wager did not accept parental duties over Atticus and, even if he realized or should have realized that action on his part was necessary, which he did not, there is not a duty to act for the protection of another person. See </w:t>
      </w:r>
      <w:proofErr w:type="spellStart"/>
      <w:r w:rsidRPr="009A3CC6">
        <w:rPr>
          <w:i/>
          <w:sz w:val="28"/>
          <w:szCs w:val="28"/>
        </w:rPr>
        <w:t>Sunnarborg</w:t>
      </w:r>
      <w:proofErr w:type="spellEnd"/>
      <w:r w:rsidRPr="009A3CC6">
        <w:rPr>
          <w:i/>
          <w:sz w:val="28"/>
          <w:szCs w:val="28"/>
        </w:rPr>
        <w:t>,</w:t>
      </w:r>
      <w:r w:rsidR="00082B9C">
        <w:rPr>
          <w:sz w:val="28"/>
          <w:szCs w:val="28"/>
        </w:rPr>
        <w:t xml:space="preserve"> 581 N.W.2d</w:t>
      </w:r>
      <w:r w:rsidRPr="009A3CC6">
        <w:rPr>
          <w:sz w:val="28"/>
          <w:szCs w:val="28"/>
        </w:rPr>
        <w:t xml:space="preserve"> 397; </w:t>
      </w:r>
      <w:r w:rsidRPr="009A3CC6">
        <w:rPr>
          <w:i/>
          <w:sz w:val="28"/>
          <w:szCs w:val="28"/>
        </w:rPr>
        <w:t>see also Donaldson v. Y</w:t>
      </w:r>
      <w:r w:rsidR="008173B9">
        <w:rPr>
          <w:i/>
          <w:sz w:val="28"/>
          <w:szCs w:val="28"/>
        </w:rPr>
        <w:t xml:space="preserve">oung Women’s Christian </w:t>
      </w:r>
      <w:proofErr w:type="spellStart"/>
      <w:r w:rsidR="008173B9">
        <w:rPr>
          <w:i/>
          <w:sz w:val="28"/>
          <w:szCs w:val="28"/>
        </w:rPr>
        <w:t>Ass’n</w:t>
      </w:r>
      <w:proofErr w:type="spellEnd"/>
      <w:r w:rsidR="008173B9">
        <w:rPr>
          <w:i/>
          <w:sz w:val="28"/>
          <w:szCs w:val="28"/>
        </w:rPr>
        <w:t xml:space="preserve"> of Duluth</w:t>
      </w:r>
      <w:r w:rsidRPr="009A3CC6">
        <w:rPr>
          <w:i/>
          <w:sz w:val="28"/>
          <w:szCs w:val="28"/>
        </w:rPr>
        <w:t>,</w:t>
      </w:r>
      <w:r w:rsidRPr="009A3CC6">
        <w:rPr>
          <w:sz w:val="28"/>
          <w:szCs w:val="28"/>
        </w:rPr>
        <w:t xml:space="preserve"> 539 N.W.2d 789</w:t>
      </w:r>
      <w:r w:rsidR="008173B9">
        <w:rPr>
          <w:sz w:val="28"/>
          <w:szCs w:val="28"/>
        </w:rPr>
        <w:t xml:space="preserve"> (Minn. 1995)</w:t>
      </w:r>
      <w:r w:rsidRPr="009A3CC6">
        <w:rPr>
          <w:sz w:val="28"/>
          <w:szCs w:val="28"/>
        </w:rPr>
        <w:t xml:space="preserve">. Plaintiff will be unable to establish both that there is a special relationship between Wager and Atticus and that under this responsibility Wager is negligent for not warning Miles of a foreseeable risk of specific harm. </w:t>
      </w:r>
    </w:p>
    <w:p w14:paraId="0D5C787C" w14:textId="77777777" w:rsidR="0039047A" w:rsidRPr="009A3CC6" w:rsidRDefault="0039047A" w:rsidP="0039047A">
      <w:pPr>
        <w:spacing w:line="480" w:lineRule="auto"/>
        <w:rPr>
          <w:sz w:val="28"/>
          <w:szCs w:val="28"/>
        </w:rPr>
      </w:pPr>
    </w:p>
    <w:p w14:paraId="5525F43A" w14:textId="77777777" w:rsidR="00AB52C3" w:rsidRPr="009A3CC6" w:rsidRDefault="00AB52C3" w:rsidP="00AB52C3">
      <w:pPr>
        <w:pStyle w:val="ListParagraph"/>
        <w:numPr>
          <w:ilvl w:val="1"/>
          <w:numId w:val="1"/>
        </w:numPr>
        <w:spacing w:line="480" w:lineRule="auto"/>
        <w:rPr>
          <w:b/>
          <w:sz w:val="28"/>
          <w:szCs w:val="28"/>
        </w:rPr>
      </w:pPr>
      <w:r w:rsidRPr="009A3CC6">
        <w:rPr>
          <w:b/>
          <w:sz w:val="28"/>
          <w:szCs w:val="28"/>
        </w:rPr>
        <w:t xml:space="preserve">Atticus’s actions were not foreseeable. </w:t>
      </w:r>
    </w:p>
    <w:p w14:paraId="2C174863" w14:textId="7786836D" w:rsidR="00AB52C3" w:rsidRPr="009A3CC6" w:rsidRDefault="00AB52C3" w:rsidP="00AB52C3">
      <w:pPr>
        <w:spacing w:line="480" w:lineRule="auto"/>
        <w:ind w:firstLine="720"/>
        <w:rPr>
          <w:sz w:val="28"/>
          <w:szCs w:val="28"/>
        </w:rPr>
      </w:pPr>
      <w:r w:rsidRPr="009A3CC6">
        <w:rPr>
          <w:sz w:val="28"/>
          <w:szCs w:val="28"/>
        </w:rPr>
        <w:t xml:space="preserve">The Plaintiff may argue that where one is in charge of another and that person, “Knows or in the exercise of reasonable care should know that the physical or mental condition of such person is such that it is reasonably foreseeable that such person would be exposed to injury, then the person in charge must use reasonable care to prevent such exposure. Failure to do so is negligence.” </w:t>
      </w:r>
      <w:proofErr w:type="gramStart"/>
      <w:r w:rsidRPr="009A3CC6">
        <w:rPr>
          <w:i/>
          <w:sz w:val="28"/>
          <w:szCs w:val="28"/>
        </w:rPr>
        <w:t>Regan v. Stromberg,</w:t>
      </w:r>
      <w:r w:rsidRPr="009A3CC6">
        <w:rPr>
          <w:sz w:val="28"/>
          <w:szCs w:val="28"/>
        </w:rPr>
        <w:t xml:space="preserve"> 285 N.W.2d 97</w:t>
      </w:r>
      <w:r w:rsidR="00C245AC">
        <w:rPr>
          <w:sz w:val="28"/>
          <w:szCs w:val="28"/>
        </w:rPr>
        <w:t xml:space="preserve"> at 100</w:t>
      </w:r>
      <w:r w:rsidRPr="009A3CC6">
        <w:rPr>
          <w:sz w:val="28"/>
          <w:szCs w:val="28"/>
        </w:rPr>
        <w:t>.</w:t>
      </w:r>
      <w:proofErr w:type="gramEnd"/>
      <w:r w:rsidRPr="009A3CC6">
        <w:rPr>
          <w:sz w:val="28"/>
          <w:szCs w:val="28"/>
        </w:rPr>
        <w:t xml:space="preserve">  Furthermore, Restatement (Second) of Torts §319 (1965) states, “One who takes charge of a third person whom he knows or should know to be likely to cause bodily harm to others if not controlled is under a duty to exercise reasonable care to control the third person to prevent </w:t>
      </w:r>
      <w:r w:rsidR="00DB1B2B">
        <w:rPr>
          <w:sz w:val="28"/>
          <w:szCs w:val="28"/>
        </w:rPr>
        <w:t>him from doing such harm.” The P</w:t>
      </w:r>
      <w:r w:rsidRPr="009A3CC6">
        <w:rPr>
          <w:sz w:val="28"/>
          <w:szCs w:val="28"/>
        </w:rPr>
        <w:t xml:space="preserve">laintiff would point to Wager’s awareness of Atticus’s diagnosis of ADHD and counseling for mood swings, acting out in school, and anti-depressant prescription, </w:t>
      </w:r>
      <w:proofErr w:type="spellStart"/>
      <w:r w:rsidRPr="009A3CC6">
        <w:rPr>
          <w:sz w:val="28"/>
          <w:szCs w:val="28"/>
        </w:rPr>
        <w:t>Fluoretine</w:t>
      </w:r>
      <w:proofErr w:type="spellEnd"/>
      <w:r w:rsidRPr="009A3CC6">
        <w:rPr>
          <w:sz w:val="28"/>
          <w:szCs w:val="28"/>
        </w:rPr>
        <w:t xml:space="preserve">, as grounds that Wager should have foreseen the possibility of Atticus carrying out his threat. They might also point to the holding in </w:t>
      </w:r>
      <w:r w:rsidRPr="009A3CC6">
        <w:rPr>
          <w:i/>
          <w:sz w:val="28"/>
          <w:szCs w:val="28"/>
        </w:rPr>
        <w:t xml:space="preserve">Andrade v. </w:t>
      </w:r>
      <w:proofErr w:type="spellStart"/>
      <w:r w:rsidRPr="009A3CC6">
        <w:rPr>
          <w:i/>
          <w:sz w:val="28"/>
          <w:szCs w:val="28"/>
        </w:rPr>
        <w:t>Ellefson</w:t>
      </w:r>
      <w:proofErr w:type="spellEnd"/>
      <w:r w:rsidRPr="009A3CC6">
        <w:rPr>
          <w:sz w:val="28"/>
          <w:szCs w:val="28"/>
        </w:rPr>
        <w:t xml:space="preserve"> that actual knowledge of a dangerous condition imposes a special duty to act based upon that condition. </w:t>
      </w:r>
      <w:r w:rsidR="00425E0F" w:rsidRPr="00425E0F">
        <w:rPr>
          <w:i/>
          <w:sz w:val="28"/>
          <w:szCs w:val="28"/>
        </w:rPr>
        <w:t>See</w:t>
      </w:r>
      <w:r w:rsidR="00425E0F">
        <w:rPr>
          <w:i/>
          <w:sz w:val="28"/>
          <w:szCs w:val="28"/>
        </w:rPr>
        <w:t xml:space="preserve"> </w:t>
      </w:r>
      <w:r w:rsidRPr="00425E0F">
        <w:rPr>
          <w:sz w:val="28"/>
          <w:szCs w:val="28"/>
        </w:rPr>
        <w:t xml:space="preserve">391 N.W.2d </w:t>
      </w:r>
      <w:r w:rsidR="00413840">
        <w:rPr>
          <w:sz w:val="28"/>
          <w:szCs w:val="28"/>
        </w:rPr>
        <w:t xml:space="preserve">at </w:t>
      </w:r>
      <w:r w:rsidRPr="009A3CC6">
        <w:rPr>
          <w:sz w:val="28"/>
          <w:szCs w:val="28"/>
        </w:rPr>
        <w:t>836</w:t>
      </w:r>
      <w:r w:rsidR="00425E0F">
        <w:rPr>
          <w:sz w:val="28"/>
          <w:szCs w:val="28"/>
        </w:rPr>
        <w:t xml:space="preserve"> (Minn. 1986)</w:t>
      </w:r>
      <w:r w:rsidRPr="009A3CC6">
        <w:rPr>
          <w:sz w:val="28"/>
          <w:szCs w:val="28"/>
        </w:rPr>
        <w:t xml:space="preserve">. </w:t>
      </w:r>
    </w:p>
    <w:p w14:paraId="1440C659" w14:textId="33B0321E" w:rsidR="00AB52C3" w:rsidRPr="009A3CC6" w:rsidRDefault="00AB52C3" w:rsidP="00AB52C3">
      <w:pPr>
        <w:spacing w:line="480" w:lineRule="auto"/>
        <w:ind w:firstLine="720"/>
        <w:rPr>
          <w:sz w:val="28"/>
          <w:szCs w:val="28"/>
        </w:rPr>
      </w:pPr>
      <w:r w:rsidRPr="009A3CC6">
        <w:rPr>
          <w:sz w:val="28"/>
          <w:szCs w:val="28"/>
        </w:rPr>
        <w:t xml:space="preserve">While this is all true, it is also true that Atticus had never exhibited violent behavior toward anyone and his threats were more likely an expression of disappointment. Mary Atticus Dep. 86. It is also true that the trouble Atticus </w:t>
      </w:r>
      <w:r w:rsidR="0039047A" w:rsidRPr="009A3CC6">
        <w:rPr>
          <w:sz w:val="28"/>
          <w:szCs w:val="28"/>
        </w:rPr>
        <w:t>got into did not ever include violence. D</w:t>
      </w:r>
      <w:r w:rsidRPr="009A3CC6">
        <w:rPr>
          <w:sz w:val="28"/>
          <w:szCs w:val="28"/>
        </w:rPr>
        <w:t>rinking alcohol and smoking marijuana are not violent crimes. Nor is skipping class. There is nothing in Atticus’s prior behavioral history to indicate he was likely to carry out a</w:t>
      </w:r>
      <w:r w:rsidR="00A9361E" w:rsidRPr="009A3CC6">
        <w:rPr>
          <w:sz w:val="28"/>
          <w:szCs w:val="28"/>
        </w:rPr>
        <w:t>n act of violence</w:t>
      </w:r>
      <w:r w:rsidRPr="009A3CC6">
        <w:rPr>
          <w:sz w:val="28"/>
          <w:szCs w:val="28"/>
        </w:rPr>
        <w:t xml:space="preserve">. Even more convincing is the fact that after the first threat toward Jonathon Miles, Atticus had not acted out on his threat and even apologized for the incident. Therefore, it is reasonable to assume that Atticus was merely venting his frustration over being cut from the school play in the same way he had in the situation prior. </w:t>
      </w:r>
    </w:p>
    <w:p w14:paraId="3C44CF53" w14:textId="77777777" w:rsidR="0039047A" w:rsidRPr="009A3CC6" w:rsidRDefault="0039047A" w:rsidP="00AB52C3">
      <w:pPr>
        <w:spacing w:line="480" w:lineRule="auto"/>
        <w:ind w:firstLine="720"/>
        <w:rPr>
          <w:sz w:val="28"/>
          <w:szCs w:val="28"/>
        </w:rPr>
      </w:pPr>
    </w:p>
    <w:p w14:paraId="5428CCC7" w14:textId="77777777" w:rsidR="0039047A" w:rsidRPr="009A3CC6" w:rsidRDefault="0039047A" w:rsidP="0039047A">
      <w:pPr>
        <w:pStyle w:val="ListParagraph"/>
        <w:numPr>
          <w:ilvl w:val="1"/>
          <w:numId w:val="1"/>
        </w:numPr>
        <w:spacing w:line="480" w:lineRule="auto"/>
        <w:rPr>
          <w:sz w:val="28"/>
          <w:szCs w:val="28"/>
        </w:rPr>
      </w:pPr>
      <w:r w:rsidRPr="009A3CC6">
        <w:rPr>
          <w:b/>
          <w:sz w:val="28"/>
          <w:szCs w:val="28"/>
        </w:rPr>
        <w:t>Atticus’s threat was not specific harm against a specific person</w:t>
      </w:r>
    </w:p>
    <w:p w14:paraId="010B3FAE" w14:textId="7A470D7A" w:rsidR="008E3257" w:rsidRPr="009A3CC6" w:rsidRDefault="008E3257" w:rsidP="008E3257">
      <w:pPr>
        <w:spacing w:line="480" w:lineRule="auto"/>
        <w:ind w:firstLine="720"/>
        <w:rPr>
          <w:sz w:val="28"/>
          <w:szCs w:val="28"/>
        </w:rPr>
      </w:pPr>
      <w:r w:rsidRPr="009A3CC6">
        <w:rPr>
          <w:sz w:val="28"/>
          <w:szCs w:val="28"/>
        </w:rPr>
        <w:t>When Wager came upon Atticus having a beer in the kitchen of his home, Atticus said that he was going, “to get even with that jerk if it kills me.” Wager Dep. 51. When Wager asked for more information, Atticus left the room and did not share any further information with Wager. Plaintiff could argue that the threat made my Atticus could have reasonably been inferred to have been about Miles since Wager did know that Atticus was trying out for the second play and had made a similar statement after the first time he did not receive a role. But that is still uncertain. Even if the threat can be established to be in regards to Miles, it is not a specific threat.</w:t>
      </w:r>
      <w:r w:rsidR="00C87EE2" w:rsidRPr="009A3CC6">
        <w:rPr>
          <w:sz w:val="28"/>
          <w:szCs w:val="28"/>
        </w:rPr>
        <w:t xml:space="preserve"> “Get even” is a very vague phrase that could essentially mean anything from vandalism to </w:t>
      </w:r>
      <w:r w:rsidR="00DF36BE" w:rsidRPr="009A3CC6">
        <w:rPr>
          <w:sz w:val="28"/>
          <w:szCs w:val="28"/>
        </w:rPr>
        <w:t>rumor spreading</w:t>
      </w:r>
      <w:r w:rsidR="00C87EE2" w:rsidRPr="009A3CC6">
        <w:rPr>
          <w:sz w:val="28"/>
          <w:szCs w:val="28"/>
        </w:rPr>
        <w:t xml:space="preserve">. It certainly does not imply stabbing or even violence in general, especially since there is no prior violent history. </w:t>
      </w:r>
      <w:r w:rsidR="00DF36BE" w:rsidRPr="009A3CC6">
        <w:rPr>
          <w:sz w:val="28"/>
          <w:szCs w:val="28"/>
        </w:rPr>
        <w:t xml:space="preserve"> A duty to warn another of harm arises</w:t>
      </w:r>
      <w:r w:rsidR="002E7308">
        <w:rPr>
          <w:sz w:val="28"/>
          <w:szCs w:val="28"/>
        </w:rPr>
        <w:t>, if at all,</w:t>
      </w:r>
      <w:r w:rsidR="00DF36BE" w:rsidRPr="009A3CC6">
        <w:rPr>
          <w:sz w:val="28"/>
          <w:szCs w:val="28"/>
        </w:rPr>
        <w:t xml:space="preserve"> </w:t>
      </w:r>
      <w:r w:rsidR="00D97700">
        <w:rPr>
          <w:sz w:val="28"/>
          <w:szCs w:val="28"/>
        </w:rPr>
        <w:t xml:space="preserve">only </w:t>
      </w:r>
      <w:r w:rsidR="00DF36BE" w:rsidRPr="009A3CC6">
        <w:rPr>
          <w:sz w:val="28"/>
          <w:szCs w:val="28"/>
        </w:rPr>
        <w:t xml:space="preserve">when specific threats are made against a specific person. </w:t>
      </w:r>
      <w:proofErr w:type="spellStart"/>
      <w:proofErr w:type="gramStart"/>
      <w:r w:rsidR="006A5A28" w:rsidRPr="006A5A28">
        <w:rPr>
          <w:i/>
          <w:sz w:val="28"/>
          <w:szCs w:val="28"/>
        </w:rPr>
        <w:t>Cairl</w:t>
      </w:r>
      <w:proofErr w:type="spellEnd"/>
      <w:r w:rsidR="006A5A28">
        <w:rPr>
          <w:sz w:val="28"/>
          <w:szCs w:val="28"/>
        </w:rPr>
        <w:t xml:space="preserve"> </w:t>
      </w:r>
      <w:r w:rsidR="00A92A29">
        <w:rPr>
          <w:sz w:val="28"/>
          <w:szCs w:val="28"/>
        </w:rPr>
        <w:t xml:space="preserve">v. </w:t>
      </w:r>
      <w:r w:rsidR="00A92A29">
        <w:rPr>
          <w:i/>
          <w:sz w:val="28"/>
          <w:szCs w:val="28"/>
        </w:rPr>
        <w:t xml:space="preserve">State, </w:t>
      </w:r>
      <w:r w:rsidR="006A5A28">
        <w:rPr>
          <w:sz w:val="28"/>
          <w:szCs w:val="28"/>
        </w:rPr>
        <w:t>323 N.W. 2d</w:t>
      </w:r>
      <w:r w:rsidR="00A92A29">
        <w:rPr>
          <w:sz w:val="28"/>
          <w:szCs w:val="28"/>
        </w:rPr>
        <w:t xml:space="preserve"> 20</w:t>
      </w:r>
      <w:r w:rsidR="006A5A28">
        <w:rPr>
          <w:sz w:val="28"/>
          <w:szCs w:val="28"/>
        </w:rPr>
        <w:t>,</w:t>
      </w:r>
      <w:r w:rsidR="00D97700">
        <w:rPr>
          <w:sz w:val="28"/>
          <w:szCs w:val="28"/>
        </w:rPr>
        <w:t xml:space="preserve"> </w:t>
      </w:r>
      <w:r w:rsidR="002E7308">
        <w:rPr>
          <w:i/>
          <w:sz w:val="28"/>
          <w:szCs w:val="28"/>
        </w:rPr>
        <w:t>Silberstein</w:t>
      </w:r>
      <w:r w:rsidR="007C3C40">
        <w:rPr>
          <w:i/>
          <w:sz w:val="28"/>
          <w:szCs w:val="28"/>
        </w:rPr>
        <w:t xml:space="preserve"> v. </w:t>
      </w:r>
      <w:proofErr w:type="spellStart"/>
      <w:r w:rsidR="007C3C40">
        <w:rPr>
          <w:i/>
          <w:sz w:val="28"/>
          <w:szCs w:val="28"/>
        </w:rPr>
        <w:t>Cordie</w:t>
      </w:r>
      <w:proofErr w:type="spellEnd"/>
      <w:r w:rsidR="00D97700">
        <w:rPr>
          <w:i/>
          <w:sz w:val="28"/>
          <w:szCs w:val="28"/>
        </w:rPr>
        <w:t xml:space="preserve">, </w:t>
      </w:r>
      <w:r w:rsidR="00D97700">
        <w:rPr>
          <w:sz w:val="28"/>
          <w:szCs w:val="28"/>
        </w:rPr>
        <w:t>474 N.W.2d</w:t>
      </w:r>
      <w:r w:rsidR="00A92A29">
        <w:rPr>
          <w:sz w:val="28"/>
          <w:szCs w:val="28"/>
        </w:rPr>
        <w:t xml:space="preserve">, </w:t>
      </w:r>
      <w:proofErr w:type="spellStart"/>
      <w:r w:rsidR="00DF36BE" w:rsidRPr="00D97700">
        <w:rPr>
          <w:i/>
          <w:sz w:val="28"/>
          <w:szCs w:val="28"/>
        </w:rPr>
        <w:t>Benstead</w:t>
      </w:r>
      <w:proofErr w:type="spellEnd"/>
      <w:r w:rsidR="00DF36BE" w:rsidRPr="00D97700">
        <w:rPr>
          <w:i/>
          <w:sz w:val="28"/>
          <w:szCs w:val="28"/>
        </w:rPr>
        <w:t xml:space="preserve"> v. G.V.H.C</w:t>
      </w:r>
      <w:r w:rsidR="00E60124">
        <w:rPr>
          <w:i/>
          <w:sz w:val="28"/>
          <w:szCs w:val="28"/>
        </w:rPr>
        <w:t>.,</w:t>
      </w:r>
      <w:r w:rsidR="00DF36BE" w:rsidRPr="009A3CC6">
        <w:rPr>
          <w:i/>
          <w:sz w:val="28"/>
          <w:szCs w:val="28"/>
        </w:rPr>
        <w:t xml:space="preserve"> </w:t>
      </w:r>
      <w:r w:rsidR="00DF36BE" w:rsidRPr="009A3CC6">
        <w:rPr>
          <w:sz w:val="28"/>
          <w:szCs w:val="28"/>
        </w:rPr>
        <w:t>Lexis</w:t>
      </w:r>
      <w:r w:rsidR="00DF36BE" w:rsidRPr="009A3CC6">
        <w:rPr>
          <w:b/>
          <w:sz w:val="28"/>
          <w:szCs w:val="28"/>
        </w:rPr>
        <w:t xml:space="preserve"> </w:t>
      </w:r>
      <w:r w:rsidR="009C1736">
        <w:rPr>
          <w:sz w:val="28"/>
          <w:szCs w:val="28"/>
        </w:rPr>
        <w:t>102</w:t>
      </w:r>
      <w:r w:rsidR="00DF36BE" w:rsidRPr="009A3CC6">
        <w:rPr>
          <w:sz w:val="28"/>
          <w:szCs w:val="28"/>
        </w:rPr>
        <w:t xml:space="preserve"> (Minn. Ct. App. 1992).</w:t>
      </w:r>
      <w:proofErr w:type="gramEnd"/>
      <w:r w:rsidR="00DF36BE" w:rsidRPr="009A3CC6">
        <w:rPr>
          <w:sz w:val="28"/>
          <w:szCs w:val="28"/>
        </w:rPr>
        <w:t xml:space="preserve"> </w:t>
      </w:r>
    </w:p>
    <w:p w14:paraId="3C2CEEE4" w14:textId="431160C7" w:rsidR="002F2645" w:rsidRPr="00E512E3" w:rsidRDefault="002F2645" w:rsidP="002F2645">
      <w:pPr>
        <w:spacing w:line="480" w:lineRule="auto"/>
        <w:ind w:firstLine="720"/>
        <w:jc w:val="center"/>
        <w:rPr>
          <w:sz w:val="28"/>
          <w:szCs w:val="28"/>
        </w:rPr>
      </w:pPr>
      <w:r w:rsidRPr="00E512E3">
        <w:rPr>
          <w:b/>
          <w:sz w:val="28"/>
          <w:szCs w:val="28"/>
        </w:rPr>
        <w:t>C</w:t>
      </w:r>
      <w:r>
        <w:rPr>
          <w:b/>
          <w:sz w:val="28"/>
          <w:szCs w:val="28"/>
        </w:rPr>
        <w:t>ONCLUSION</w:t>
      </w:r>
    </w:p>
    <w:p w14:paraId="22D57E57" w14:textId="77777777" w:rsidR="002F2645" w:rsidRDefault="002F2645" w:rsidP="002F2645">
      <w:pPr>
        <w:spacing w:line="480" w:lineRule="auto"/>
        <w:rPr>
          <w:sz w:val="28"/>
          <w:szCs w:val="28"/>
        </w:rPr>
      </w:pPr>
      <w:r w:rsidRPr="00E512E3">
        <w:rPr>
          <w:sz w:val="28"/>
          <w:szCs w:val="28"/>
        </w:rPr>
        <w:tab/>
        <w:t>Atticus and Wager were not engaged in the type of special relationship required by law for Wager to have had a legal duty to warn Miles of a threat of harm against him. Further, Atticus’s actions were not foreseeable so even if the special relationship did exist, Wager would not be liable under any o</w:t>
      </w:r>
      <w:r>
        <w:rPr>
          <w:sz w:val="28"/>
          <w:szCs w:val="28"/>
        </w:rPr>
        <w:t xml:space="preserve">f Plaintiff’s suggested theory of duty to warn. Finally, because Atticus did not specify that he planned on carrying out a threat against Miles in particular and did not identify what kind of action he planned to take, the threat is not specific enough to warrant a warning. </w:t>
      </w:r>
      <w:r w:rsidRPr="00E512E3">
        <w:rPr>
          <w:sz w:val="28"/>
          <w:szCs w:val="28"/>
        </w:rPr>
        <w:t xml:space="preserve"> </w:t>
      </w:r>
      <w:r>
        <w:rPr>
          <w:sz w:val="28"/>
          <w:szCs w:val="28"/>
        </w:rPr>
        <w:t xml:space="preserve">Therefore, the Defendant respectfully requests that the court grant summary judgment. </w:t>
      </w:r>
    </w:p>
    <w:p w14:paraId="05C80584" w14:textId="77777777" w:rsidR="00D731B7" w:rsidRDefault="00D731B7" w:rsidP="002F2645">
      <w:pPr>
        <w:spacing w:line="480" w:lineRule="auto"/>
        <w:rPr>
          <w:sz w:val="28"/>
          <w:szCs w:val="28"/>
        </w:rPr>
      </w:pPr>
    </w:p>
    <w:p w14:paraId="65883A12" w14:textId="50F46E07" w:rsidR="00D731B7" w:rsidRDefault="00D731B7" w:rsidP="002F2645">
      <w:pPr>
        <w:spacing w:line="480" w:lineRule="auto"/>
        <w:rPr>
          <w:sz w:val="28"/>
          <w:szCs w:val="28"/>
        </w:rPr>
      </w:pPr>
      <w:r>
        <w:rPr>
          <w:sz w:val="28"/>
          <w:szCs w:val="28"/>
        </w:rPr>
        <w:t xml:space="preserve">Respectfully Submitted, </w:t>
      </w:r>
    </w:p>
    <w:p w14:paraId="716C179B" w14:textId="54F6D8E4" w:rsidR="00D731B7" w:rsidRDefault="00D731B7" w:rsidP="00A944A2">
      <w:pPr>
        <w:rPr>
          <w:sz w:val="28"/>
          <w:szCs w:val="28"/>
        </w:rPr>
      </w:pPr>
      <w:r>
        <w:rPr>
          <w:sz w:val="28"/>
          <w:szCs w:val="28"/>
        </w:rPr>
        <w:t xml:space="preserve">Dated: </w:t>
      </w:r>
      <w:r w:rsidRPr="00D731B7">
        <w:rPr>
          <w:sz w:val="28"/>
          <w:szCs w:val="28"/>
          <w:u w:val="single"/>
        </w:rPr>
        <w:t>April 11, 2012</w:t>
      </w:r>
      <w:r>
        <w:rPr>
          <w:sz w:val="28"/>
          <w:szCs w:val="28"/>
        </w:rPr>
        <w:tab/>
      </w:r>
      <w:r>
        <w:rPr>
          <w:sz w:val="28"/>
          <w:szCs w:val="28"/>
        </w:rPr>
        <w:tab/>
      </w:r>
      <w:r>
        <w:rPr>
          <w:sz w:val="28"/>
          <w:szCs w:val="28"/>
        </w:rPr>
        <w:tab/>
      </w:r>
      <w:r w:rsidR="00A944A2">
        <w:rPr>
          <w:sz w:val="28"/>
          <w:szCs w:val="28"/>
        </w:rPr>
        <w:t>&lt;redacted&gt;&lt;/redacted&gt;</w:t>
      </w:r>
      <w:bookmarkStart w:id="0" w:name="_GoBack"/>
      <w:bookmarkEnd w:id="0"/>
    </w:p>
    <w:p w14:paraId="58DBD5A6" w14:textId="19687E39" w:rsidR="00D731B7" w:rsidRPr="00D731B7" w:rsidRDefault="00D731B7" w:rsidP="00D731B7">
      <w:pPr>
        <w:ind w:firstLine="720"/>
        <w:rPr>
          <w:sz w:val="28"/>
          <w:szCs w:val="28"/>
        </w:rPr>
      </w:pPr>
      <w:r>
        <w:rPr>
          <w:sz w:val="28"/>
          <w:szCs w:val="28"/>
        </w:rPr>
        <w:tab/>
      </w:r>
      <w:r>
        <w:rPr>
          <w:sz w:val="28"/>
          <w:szCs w:val="28"/>
        </w:rPr>
        <w:tab/>
      </w:r>
      <w:r>
        <w:rPr>
          <w:sz w:val="28"/>
          <w:szCs w:val="28"/>
        </w:rPr>
        <w:tab/>
      </w:r>
      <w:r>
        <w:rPr>
          <w:sz w:val="28"/>
          <w:szCs w:val="28"/>
        </w:rPr>
        <w:tab/>
      </w:r>
      <w:r>
        <w:rPr>
          <w:sz w:val="28"/>
          <w:szCs w:val="28"/>
        </w:rPr>
        <w:tab/>
      </w:r>
      <w:r>
        <w:rPr>
          <w:b/>
          <w:sz w:val="28"/>
          <w:szCs w:val="28"/>
        </w:rPr>
        <w:t>Attorneys for Defendant</w:t>
      </w:r>
    </w:p>
    <w:p w14:paraId="68745AE6" w14:textId="77777777" w:rsidR="00AB52C3" w:rsidRPr="009A3CC6" w:rsidRDefault="00AB52C3" w:rsidP="00AB52C3">
      <w:pPr>
        <w:spacing w:line="480" w:lineRule="auto"/>
        <w:ind w:firstLine="720"/>
        <w:rPr>
          <w:sz w:val="28"/>
          <w:szCs w:val="28"/>
        </w:rPr>
      </w:pPr>
    </w:p>
    <w:p w14:paraId="15A29761" w14:textId="77777777" w:rsidR="00AB52C3" w:rsidRPr="009A3CC6" w:rsidRDefault="00AB52C3" w:rsidP="00AB52C3">
      <w:pPr>
        <w:spacing w:line="480" w:lineRule="auto"/>
        <w:ind w:firstLine="720"/>
        <w:rPr>
          <w:b/>
          <w:sz w:val="28"/>
          <w:szCs w:val="28"/>
        </w:rPr>
      </w:pPr>
    </w:p>
    <w:p w14:paraId="19961039" w14:textId="77777777" w:rsidR="00AB52C3" w:rsidRPr="009A3CC6" w:rsidRDefault="00AB52C3" w:rsidP="00AB52C3">
      <w:pPr>
        <w:spacing w:line="480" w:lineRule="auto"/>
        <w:rPr>
          <w:sz w:val="28"/>
          <w:szCs w:val="28"/>
        </w:rPr>
      </w:pPr>
    </w:p>
    <w:sectPr w:rsidR="00AB52C3" w:rsidRPr="009A3CC6" w:rsidSect="000264B8">
      <w:footerReference w:type="even" r:id="rId8"/>
      <w:footerReference w:type="default" r:id="rId9"/>
      <w:pgSz w:w="12240" w:h="15840"/>
      <w:pgMar w:top="1440" w:right="1800" w:bottom="1440" w:left="180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CA74FA" w14:textId="77777777" w:rsidR="00DE426A" w:rsidRDefault="00DE426A" w:rsidP="000264B8">
      <w:r>
        <w:separator/>
      </w:r>
    </w:p>
  </w:endnote>
  <w:endnote w:type="continuationSeparator" w:id="0">
    <w:p w14:paraId="7434FE98" w14:textId="77777777" w:rsidR="00DE426A" w:rsidRDefault="00DE426A" w:rsidP="0002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6866F" w14:textId="77777777" w:rsidR="00DE426A" w:rsidRDefault="00DE426A" w:rsidP="00ED01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6237E0" w14:textId="77777777" w:rsidR="00DE426A" w:rsidRDefault="00DE426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BE9DD" w14:textId="77777777" w:rsidR="00DE426A" w:rsidRDefault="00DE426A" w:rsidP="00ED01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944A2">
      <w:rPr>
        <w:rStyle w:val="PageNumber"/>
        <w:noProof/>
      </w:rPr>
      <w:t>16</w:t>
    </w:r>
    <w:r>
      <w:rPr>
        <w:rStyle w:val="PageNumber"/>
      </w:rPr>
      <w:fldChar w:fldCharType="end"/>
    </w:r>
  </w:p>
  <w:p w14:paraId="2FA0460B" w14:textId="77777777" w:rsidR="00DE426A" w:rsidRDefault="00DE426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1190DF" w14:textId="77777777" w:rsidR="00DE426A" w:rsidRDefault="00DE426A" w:rsidP="000264B8">
      <w:r>
        <w:separator/>
      </w:r>
    </w:p>
  </w:footnote>
  <w:footnote w:type="continuationSeparator" w:id="0">
    <w:p w14:paraId="1CA4577E" w14:textId="77777777" w:rsidR="00DE426A" w:rsidRDefault="00DE426A" w:rsidP="000264B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03324D"/>
    <w:multiLevelType w:val="hybridMultilevel"/>
    <w:tmpl w:val="D568A0EA"/>
    <w:lvl w:ilvl="0" w:tplc="F43C438A">
      <w:start w:val="1"/>
      <w:numFmt w:val="upperRoman"/>
      <w:lvlText w:val="%1."/>
      <w:lvlJc w:val="left"/>
      <w:pPr>
        <w:ind w:left="720" w:hanging="72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BD2"/>
    <w:rsid w:val="00013B3C"/>
    <w:rsid w:val="000264B8"/>
    <w:rsid w:val="00070D96"/>
    <w:rsid w:val="00082B9C"/>
    <w:rsid w:val="000B7EB7"/>
    <w:rsid w:val="000D5F4C"/>
    <w:rsid w:val="00115C1B"/>
    <w:rsid w:val="001756D1"/>
    <w:rsid w:val="001A2051"/>
    <w:rsid w:val="00210441"/>
    <w:rsid w:val="002A30BA"/>
    <w:rsid w:val="002E7308"/>
    <w:rsid w:val="002F2645"/>
    <w:rsid w:val="0039047A"/>
    <w:rsid w:val="003F38FC"/>
    <w:rsid w:val="00400BD2"/>
    <w:rsid w:val="00413840"/>
    <w:rsid w:val="0041601F"/>
    <w:rsid w:val="00425E0F"/>
    <w:rsid w:val="00430099"/>
    <w:rsid w:val="0045605F"/>
    <w:rsid w:val="0049302F"/>
    <w:rsid w:val="0049382B"/>
    <w:rsid w:val="004A3F59"/>
    <w:rsid w:val="004E000F"/>
    <w:rsid w:val="004F2418"/>
    <w:rsid w:val="00584851"/>
    <w:rsid w:val="005F7BEA"/>
    <w:rsid w:val="0066258B"/>
    <w:rsid w:val="00697768"/>
    <w:rsid w:val="006A5A28"/>
    <w:rsid w:val="006C34A2"/>
    <w:rsid w:val="007064F2"/>
    <w:rsid w:val="007421A0"/>
    <w:rsid w:val="00791DD4"/>
    <w:rsid w:val="007B54F0"/>
    <w:rsid w:val="007C0C0E"/>
    <w:rsid w:val="007C3C40"/>
    <w:rsid w:val="007D5AAA"/>
    <w:rsid w:val="007D5AC2"/>
    <w:rsid w:val="00803985"/>
    <w:rsid w:val="008173B9"/>
    <w:rsid w:val="00832CE2"/>
    <w:rsid w:val="00833297"/>
    <w:rsid w:val="00834E29"/>
    <w:rsid w:val="00875C33"/>
    <w:rsid w:val="008904EB"/>
    <w:rsid w:val="008E3257"/>
    <w:rsid w:val="008F404E"/>
    <w:rsid w:val="00927379"/>
    <w:rsid w:val="0098001D"/>
    <w:rsid w:val="009A3CC6"/>
    <w:rsid w:val="009C1736"/>
    <w:rsid w:val="00A00370"/>
    <w:rsid w:val="00A11A39"/>
    <w:rsid w:val="00A45AFB"/>
    <w:rsid w:val="00A56378"/>
    <w:rsid w:val="00A92A29"/>
    <w:rsid w:val="00A9361E"/>
    <w:rsid w:val="00A944A2"/>
    <w:rsid w:val="00AB52C3"/>
    <w:rsid w:val="00B431EE"/>
    <w:rsid w:val="00B75FD6"/>
    <w:rsid w:val="00B77340"/>
    <w:rsid w:val="00B815D9"/>
    <w:rsid w:val="00BE3539"/>
    <w:rsid w:val="00C245AC"/>
    <w:rsid w:val="00C87EE2"/>
    <w:rsid w:val="00CC3CA8"/>
    <w:rsid w:val="00CC5974"/>
    <w:rsid w:val="00CD6892"/>
    <w:rsid w:val="00CE3C20"/>
    <w:rsid w:val="00D13635"/>
    <w:rsid w:val="00D53126"/>
    <w:rsid w:val="00D612CC"/>
    <w:rsid w:val="00D731B7"/>
    <w:rsid w:val="00D82157"/>
    <w:rsid w:val="00D91059"/>
    <w:rsid w:val="00D97700"/>
    <w:rsid w:val="00DB1B2B"/>
    <w:rsid w:val="00DE1C2B"/>
    <w:rsid w:val="00DE426A"/>
    <w:rsid w:val="00DF36BE"/>
    <w:rsid w:val="00E23B7F"/>
    <w:rsid w:val="00E60124"/>
    <w:rsid w:val="00E634CD"/>
    <w:rsid w:val="00E816E9"/>
    <w:rsid w:val="00E971B3"/>
    <w:rsid w:val="00E975DE"/>
    <w:rsid w:val="00ED01D5"/>
    <w:rsid w:val="00EF4606"/>
    <w:rsid w:val="00F25FF9"/>
    <w:rsid w:val="00F31DD8"/>
    <w:rsid w:val="00F60866"/>
    <w:rsid w:val="00F91B68"/>
    <w:rsid w:val="00FD0732"/>
    <w:rsid w:val="00FD6E53"/>
    <w:rsid w:val="00FE3548"/>
    <w:rsid w:val="00FF2E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6D36E97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BD2"/>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2C3"/>
    <w:pPr>
      <w:ind w:left="720"/>
      <w:contextualSpacing/>
    </w:pPr>
  </w:style>
  <w:style w:type="paragraph" w:styleId="Footer">
    <w:name w:val="footer"/>
    <w:basedOn w:val="Normal"/>
    <w:link w:val="FooterChar"/>
    <w:uiPriority w:val="99"/>
    <w:unhideWhenUsed/>
    <w:rsid w:val="000264B8"/>
    <w:pPr>
      <w:tabs>
        <w:tab w:val="center" w:pos="4320"/>
        <w:tab w:val="right" w:pos="8640"/>
      </w:tabs>
    </w:pPr>
  </w:style>
  <w:style w:type="character" w:customStyle="1" w:styleId="FooterChar">
    <w:name w:val="Footer Char"/>
    <w:basedOn w:val="DefaultParagraphFont"/>
    <w:link w:val="Footer"/>
    <w:uiPriority w:val="99"/>
    <w:rsid w:val="000264B8"/>
    <w:rPr>
      <w:sz w:val="24"/>
      <w:szCs w:val="24"/>
      <w:lang w:eastAsia="en-US"/>
    </w:rPr>
  </w:style>
  <w:style w:type="character" w:styleId="PageNumber">
    <w:name w:val="page number"/>
    <w:basedOn w:val="DefaultParagraphFont"/>
    <w:uiPriority w:val="99"/>
    <w:semiHidden/>
    <w:unhideWhenUsed/>
    <w:rsid w:val="000264B8"/>
  </w:style>
  <w:style w:type="character" w:styleId="CommentReference">
    <w:name w:val="annotation reference"/>
    <w:basedOn w:val="DefaultParagraphFont"/>
    <w:uiPriority w:val="99"/>
    <w:semiHidden/>
    <w:unhideWhenUsed/>
    <w:rsid w:val="00CD6892"/>
    <w:rPr>
      <w:sz w:val="18"/>
      <w:szCs w:val="18"/>
    </w:rPr>
  </w:style>
  <w:style w:type="paragraph" w:styleId="CommentText">
    <w:name w:val="annotation text"/>
    <w:basedOn w:val="Normal"/>
    <w:link w:val="CommentTextChar"/>
    <w:uiPriority w:val="99"/>
    <w:semiHidden/>
    <w:unhideWhenUsed/>
    <w:rsid w:val="00CD6892"/>
  </w:style>
  <w:style w:type="character" w:customStyle="1" w:styleId="CommentTextChar">
    <w:name w:val="Comment Text Char"/>
    <w:basedOn w:val="DefaultParagraphFont"/>
    <w:link w:val="CommentText"/>
    <w:uiPriority w:val="99"/>
    <w:semiHidden/>
    <w:rsid w:val="00CD6892"/>
    <w:rPr>
      <w:sz w:val="24"/>
      <w:szCs w:val="24"/>
      <w:lang w:eastAsia="en-US"/>
    </w:rPr>
  </w:style>
  <w:style w:type="paragraph" w:styleId="CommentSubject">
    <w:name w:val="annotation subject"/>
    <w:basedOn w:val="CommentText"/>
    <w:next w:val="CommentText"/>
    <w:link w:val="CommentSubjectChar"/>
    <w:uiPriority w:val="99"/>
    <w:semiHidden/>
    <w:unhideWhenUsed/>
    <w:rsid w:val="00CD6892"/>
    <w:rPr>
      <w:b/>
      <w:bCs/>
      <w:sz w:val="20"/>
      <w:szCs w:val="20"/>
    </w:rPr>
  </w:style>
  <w:style w:type="character" w:customStyle="1" w:styleId="CommentSubjectChar">
    <w:name w:val="Comment Subject Char"/>
    <w:basedOn w:val="CommentTextChar"/>
    <w:link w:val="CommentSubject"/>
    <w:uiPriority w:val="99"/>
    <w:semiHidden/>
    <w:rsid w:val="00CD6892"/>
    <w:rPr>
      <w:b/>
      <w:bCs/>
      <w:sz w:val="24"/>
      <w:szCs w:val="24"/>
      <w:lang w:eastAsia="en-US"/>
    </w:rPr>
  </w:style>
  <w:style w:type="paragraph" w:styleId="BalloonText">
    <w:name w:val="Balloon Text"/>
    <w:basedOn w:val="Normal"/>
    <w:link w:val="BalloonTextChar"/>
    <w:uiPriority w:val="99"/>
    <w:semiHidden/>
    <w:unhideWhenUsed/>
    <w:rsid w:val="00CD689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6892"/>
    <w:rPr>
      <w:rFonts w:ascii="Lucida Grande" w:hAnsi="Lucida Grande" w:cs="Lucida Grande"/>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BD2"/>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2C3"/>
    <w:pPr>
      <w:ind w:left="720"/>
      <w:contextualSpacing/>
    </w:pPr>
  </w:style>
  <w:style w:type="paragraph" w:styleId="Footer">
    <w:name w:val="footer"/>
    <w:basedOn w:val="Normal"/>
    <w:link w:val="FooterChar"/>
    <w:uiPriority w:val="99"/>
    <w:unhideWhenUsed/>
    <w:rsid w:val="000264B8"/>
    <w:pPr>
      <w:tabs>
        <w:tab w:val="center" w:pos="4320"/>
        <w:tab w:val="right" w:pos="8640"/>
      </w:tabs>
    </w:pPr>
  </w:style>
  <w:style w:type="character" w:customStyle="1" w:styleId="FooterChar">
    <w:name w:val="Footer Char"/>
    <w:basedOn w:val="DefaultParagraphFont"/>
    <w:link w:val="Footer"/>
    <w:uiPriority w:val="99"/>
    <w:rsid w:val="000264B8"/>
    <w:rPr>
      <w:sz w:val="24"/>
      <w:szCs w:val="24"/>
      <w:lang w:eastAsia="en-US"/>
    </w:rPr>
  </w:style>
  <w:style w:type="character" w:styleId="PageNumber">
    <w:name w:val="page number"/>
    <w:basedOn w:val="DefaultParagraphFont"/>
    <w:uiPriority w:val="99"/>
    <w:semiHidden/>
    <w:unhideWhenUsed/>
    <w:rsid w:val="000264B8"/>
  </w:style>
  <w:style w:type="character" w:styleId="CommentReference">
    <w:name w:val="annotation reference"/>
    <w:basedOn w:val="DefaultParagraphFont"/>
    <w:uiPriority w:val="99"/>
    <w:semiHidden/>
    <w:unhideWhenUsed/>
    <w:rsid w:val="00CD6892"/>
    <w:rPr>
      <w:sz w:val="18"/>
      <w:szCs w:val="18"/>
    </w:rPr>
  </w:style>
  <w:style w:type="paragraph" w:styleId="CommentText">
    <w:name w:val="annotation text"/>
    <w:basedOn w:val="Normal"/>
    <w:link w:val="CommentTextChar"/>
    <w:uiPriority w:val="99"/>
    <w:semiHidden/>
    <w:unhideWhenUsed/>
    <w:rsid w:val="00CD6892"/>
  </w:style>
  <w:style w:type="character" w:customStyle="1" w:styleId="CommentTextChar">
    <w:name w:val="Comment Text Char"/>
    <w:basedOn w:val="DefaultParagraphFont"/>
    <w:link w:val="CommentText"/>
    <w:uiPriority w:val="99"/>
    <w:semiHidden/>
    <w:rsid w:val="00CD6892"/>
    <w:rPr>
      <w:sz w:val="24"/>
      <w:szCs w:val="24"/>
      <w:lang w:eastAsia="en-US"/>
    </w:rPr>
  </w:style>
  <w:style w:type="paragraph" w:styleId="CommentSubject">
    <w:name w:val="annotation subject"/>
    <w:basedOn w:val="CommentText"/>
    <w:next w:val="CommentText"/>
    <w:link w:val="CommentSubjectChar"/>
    <w:uiPriority w:val="99"/>
    <w:semiHidden/>
    <w:unhideWhenUsed/>
    <w:rsid w:val="00CD6892"/>
    <w:rPr>
      <w:b/>
      <w:bCs/>
      <w:sz w:val="20"/>
      <w:szCs w:val="20"/>
    </w:rPr>
  </w:style>
  <w:style w:type="character" w:customStyle="1" w:styleId="CommentSubjectChar">
    <w:name w:val="Comment Subject Char"/>
    <w:basedOn w:val="CommentTextChar"/>
    <w:link w:val="CommentSubject"/>
    <w:uiPriority w:val="99"/>
    <w:semiHidden/>
    <w:rsid w:val="00CD6892"/>
    <w:rPr>
      <w:b/>
      <w:bCs/>
      <w:sz w:val="24"/>
      <w:szCs w:val="24"/>
      <w:lang w:eastAsia="en-US"/>
    </w:rPr>
  </w:style>
  <w:style w:type="paragraph" w:styleId="BalloonText">
    <w:name w:val="Balloon Text"/>
    <w:basedOn w:val="Normal"/>
    <w:link w:val="BalloonTextChar"/>
    <w:uiPriority w:val="99"/>
    <w:semiHidden/>
    <w:unhideWhenUsed/>
    <w:rsid w:val="00CD689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6892"/>
    <w:rPr>
      <w:rFonts w:ascii="Lucida Grande" w:hAnsi="Lucida Grande" w:cs="Lucida Grande"/>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3370</Words>
  <Characters>16446</Characters>
  <Application>Microsoft Macintosh Word</Application>
  <DocSecurity>0</DocSecurity>
  <Lines>349</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2012-04-22T22:07:00Z</dcterms:created>
  <dcterms:modified xsi:type="dcterms:W3CDTF">2012-06-03T21:19:00Z</dcterms:modified>
  <cp:category/>
</cp:coreProperties>
</file>